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949" w:rsidRDefault="00716949" w:rsidP="00716949">
      <w:pPr>
        <w:jc w:val="right"/>
        <w:rPr>
          <w:sz w:val="28"/>
        </w:rPr>
      </w:pPr>
      <w:r w:rsidRPr="00716949">
        <w:rPr>
          <w:sz w:val="28"/>
        </w:rPr>
        <w:t xml:space="preserve">Приложение к постановлению </w:t>
      </w:r>
    </w:p>
    <w:p w:rsidR="00716949" w:rsidRDefault="00716949" w:rsidP="00716949">
      <w:pPr>
        <w:jc w:val="right"/>
        <w:rPr>
          <w:sz w:val="28"/>
        </w:rPr>
      </w:pPr>
      <w:r w:rsidRPr="00716949">
        <w:rPr>
          <w:sz w:val="28"/>
        </w:rPr>
        <w:t xml:space="preserve">Администрации муниципального образования </w:t>
      </w:r>
    </w:p>
    <w:p w:rsidR="00716949" w:rsidRDefault="00716949" w:rsidP="00716949">
      <w:pPr>
        <w:jc w:val="right"/>
        <w:rPr>
          <w:sz w:val="28"/>
        </w:rPr>
      </w:pPr>
      <w:r w:rsidRPr="00716949">
        <w:rPr>
          <w:sz w:val="28"/>
        </w:rPr>
        <w:t xml:space="preserve">«Гагаринский муниципальный округ» </w:t>
      </w:r>
    </w:p>
    <w:p w:rsidR="002B68BE" w:rsidRPr="00716949" w:rsidRDefault="00716949" w:rsidP="00716949">
      <w:pPr>
        <w:jc w:val="right"/>
        <w:rPr>
          <w:sz w:val="28"/>
        </w:rPr>
      </w:pPr>
      <w:r w:rsidRPr="00716949">
        <w:rPr>
          <w:sz w:val="28"/>
        </w:rPr>
        <w:t>Смоленской области</w:t>
      </w:r>
    </w:p>
    <w:p w:rsidR="00FB6EB6" w:rsidRPr="00716949" w:rsidRDefault="00716949" w:rsidP="00716949">
      <w:pPr>
        <w:jc w:val="right"/>
        <w:rPr>
          <w:sz w:val="28"/>
        </w:rPr>
      </w:pPr>
      <w:r>
        <w:rPr>
          <w:sz w:val="28"/>
        </w:rPr>
        <w:t>от ___________№__________</w:t>
      </w:r>
    </w:p>
    <w:p w:rsidR="00FB6EB6" w:rsidRDefault="00FB6EB6" w:rsidP="00716949">
      <w:pPr>
        <w:jc w:val="right"/>
        <w:rPr>
          <w:b/>
          <w:sz w:val="28"/>
        </w:rPr>
      </w:pPr>
    </w:p>
    <w:p w:rsidR="00FB6EB6" w:rsidRDefault="00FB6EB6" w:rsidP="00FB6EB6">
      <w:pPr>
        <w:ind w:left="3686"/>
        <w:rPr>
          <w:b/>
          <w:sz w:val="28"/>
        </w:rPr>
      </w:pPr>
      <w:r>
        <w:rPr>
          <w:noProof/>
        </w:rPr>
        <w:drawing>
          <wp:inline distT="0" distB="0" distL="0" distR="0" wp14:anchorId="6C5FB219" wp14:editId="2627B86C">
            <wp:extent cx="1905000" cy="21526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EB6" w:rsidRDefault="00FB6EB6" w:rsidP="00FB6EB6">
      <w:pPr>
        <w:ind w:left="3686"/>
        <w:rPr>
          <w:b/>
          <w:sz w:val="28"/>
        </w:rPr>
      </w:pPr>
    </w:p>
    <w:p w:rsidR="002B68BE" w:rsidRDefault="002B68BE" w:rsidP="00235C5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2B68BE" w:rsidRDefault="002B68BE" w:rsidP="00235C58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2B68BE" w:rsidRPr="00AB4E5D" w:rsidRDefault="002B68BE" w:rsidP="00235C58">
      <w:pPr>
        <w:jc w:val="center"/>
        <w:rPr>
          <w:b/>
          <w:sz w:val="28"/>
          <w:szCs w:val="28"/>
        </w:rPr>
      </w:pPr>
      <w:r w:rsidRPr="00AB4E5D">
        <w:rPr>
          <w:b/>
          <w:sz w:val="28"/>
          <w:szCs w:val="28"/>
        </w:rPr>
        <w:t xml:space="preserve">«Гагаринский </w:t>
      </w:r>
      <w:r w:rsidR="005A058B">
        <w:rPr>
          <w:b/>
          <w:sz w:val="28"/>
          <w:szCs w:val="28"/>
        </w:rPr>
        <w:t>муниципальный округ</w:t>
      </w:r>
      <w:r w:rsidRPr="00AB4E5D">
        <w:rPr>
          <w:b/>
          <w:sz w:val="28"/>
          <w:szCs w:val="28"/>
        </w:rPr>
        <w:t>» Смоленской области</w:t>
      </w:r>
    </w:p>
    <w:p w:rsidR="002B68BE" w:rsidRPr="00AB4E5D" w:rsidRDefault="002B68BE" w:rsidP="00235C58">
      <w:pPr>
        <w:jc w:val="center"/>
        <w:rPr>
          <w:b/>
          <w:sz w:val="28"/>
          <w:szCs w:val="28"/>
        </w:rPr>
      </w:pPr>
    </w:p>
    <w:p w:rsidR="002B68BE" w:rsidRDefault="002B68BE" w:rsidP="00235C58">
      <w:pPr>
        <w:jc w:val="center"/>
        <w:rPr>
          <w:b/>
          <w:sz w:val="28"/>
        </w:rPr>
      </w:pPr>
    </w:p>
    <w:p w:rsidR="002B68BE" w:rsidRDefault="002B68BE" w:rsidP="00235C58">
      <w:pPr>
        <w:jc w:val="center"/>
        <w:rPr>
          <w:b/>
          <w:sz w:val="28"/>
        </w:rPr>
      </w:pPr>
    </w:p>
    <w:p w:rsidR="002B68BE" w:rsidRDefault="002B68BE" w:rsidP="00235C58">
      <w:pPr>
        <w:jc w:val="center"/>
        <w:rPr>
          <w:b/>
          <w:sz w:val="28"/>
        </w:rPr>
      </w:pPr>
      <w:r>
        <w:rPr>
          <w:b/>
          <w:sz w:val="28"/>
        </w:rPr>
        <w:t xml:space="preserve">Отдел экономического развития и </w:t>
      </w:r>
    </w:p>
    <w:p w:rsidR="002B68BE" w:rsidRDefault="002B68BE" w:rsidP="00235C58">
      <w:pPr>
        <w:jc w:val="center"/>
        <w:rPr>
          <w:b/>
          <w:sz w:val="28"/>
        </w:rPr>
      </w:pPr>
      <w:r>
        <w:rPr>
          <w:b/>
          <w:sz w:val="28"/>
        </w:rPr>
        <w:t>потребительского рынка</w:t>
      </w:r>
    </w:p>
    <w:p w:rsidR="002B68BE" w:rsidRDefault="002B68BE" w:rsidP="00235C58">
      <w:pPr>
        <w:jc w:val="center"/>
        <w:rPr>
          <w:b/>
          <w:sz w:val="28"/>
        </w:rPr>
      </w:pPr>
    </w:p>
    <w:p w:rsidR="002B68BE" w:rsidRDefault="002B68BE" w:rsidP="00235C58">
      <w:pPr>
        <w:jc w:val="center"/>
        <w:rPr>
          <w:b/>
          <w:sz w:val="28"/>
        </w:rPr>
      </w:pPr>
    </w:p>
    <w:p w:rsidR="002B68BE" w:rsidRDefault="002B68BE" w:rsidP="00235C58">
      <w:pPr>
        <w:jc w:val="center"/>
        <w:rPr>
          <w:b/>
          <w:sz w:val="28"/>
        </w:rPr>
      </w:pPr>
    </w:p>
    <w:p w:rsidR="002B68BE" w:rsidRPr="00C91105" w:rsidRDefault="002B68BE" w:rsidP="00235C58">
      <w:pPr>
        <w:jc w:val="center"/>
        <w:rPr>
          <w:b/>
          <w:sz w:val="48"/>
          <w:szCs w:val="48"/>
        </w:rPr>
      </w:pPr>
      <w:r w:rsidRPr="00C91105">
        <w:rPr>
          <w:b/>
          <w:sz w:val="48"/>
          <w:szCs w:val="48"/>
        </w:rPr>
        <w:t xml:space="preserve">ПОЯСНИТЕЛЬНАЯ ЗАПИСКА </w:t>
      </w:r>
    </w:p>
    <w:p w:rsidR="002B68BE" w:rsidRDefault="002B68BE" w:rsidP="00235C58">
      <w:pPr>
        <w:jc w:val="center"/>
        <w:rPr>
          <w:b/>
          <w:sz w:val="44"/>
        </w:rPr>
      </w:pPr>
      <w:r>
        <w:rPr>
          <w:b/>
          <w:sz w:val="44"/>
        </w:rPr>
        <w:t xml:space="preserve">к ПРОГНОЗУ </w:t>
      </w:r>
    </w:p>
    <w:p w:rsidR="002B68BE" w:rsidRDefault="002B68BE" w:rsidP="00235C58">
      <w:pPr>
        <w:jc w:val="center"/>
        <w:rPr>
          <w:b/>
          <w:sz w:val="44"/>
        </w:rPr>
      </w:pPr>
      <w:r>
        <w:rPr>
          <w:b/>
          <w:sz w:val="44"/>
        </w:rPr>
        <w:t>социально-экономического развития</w:t>
      </w:r>
    </w:p>
    <w:p w:rsidR="002B68BE" w:rsidRDefault="002B68BE" w:rsidP="00235C58">
      <w:pPr>
        <w:jc w:val="center"/>
        <w:rPr>
          <w:b/>
          <w:sz w:val="44"/>
        </w:rPr>
      </w:pPr>
      <w:r>
        <w:rPr>
          <w:b/>
          <w:sz w:val="44"/>
        </w:rPr>
        <w:t>муниципального образования</w:t>
      </w:r>
    </w:p>
    <w:p w:rsidR="002B68BE" w:rsidRDefault="002B68BE" w:rsidP="00235C58">
      <w:pPr>
        <w:jc w:val="center"/>
        <w:rPr>
          <w:b/>
          <w:sz w:val="44"/>
        </w:rPr>
      </w:pPr>
      <w:r>
        <w:rPr>
          <w:b/>
          <w:sz w:val="44"/>
        </w:rPr>
        <w:t xml:space="preserve">«Гагаринский </w:t>
      </w:r>
      <w:r w:rsidR="005A058B">
        <w:rPr>
          <w:b/>
          <w:sz w:val="44"/>
        </w:rPr>
        <w:t>муниципальный округ</w:t>
      </w:r>
      <w:r>
        <w:rPr>
          <w:b/>
          <w:sz w:val="44"/>
        </w:rPr>
        <w:t>»</w:t>
      </w:r>
    </w:p>
    <w:p w:rsidR="002B68BE" w:rsidRDefault="002B68BE" w:rsidP="00235C58">
      <w:pPr>
        <w:jc w:val="center"/>
        <w:rPr>
          <w:b/>
          <w:sz w:val="44"/>
        </w:rPr>
      </w:pPr>
      <w:r>
        <w:rPr>
          <w:b/>
          <w:sz w:val="44"/>
        </w:rPr>
        <w:t>Смоленской области</w:t>
      </w:r>
    </w:p>
    <w:p w:rsidR="002B68BE" w:rsidRDefault="00045779" w:rsidP="00235C58">
      <w:pPr>
        <w:jc w:val="center"/>
        <w:rPr>
          <w:b/>
          <w:sz w:val="44"/>
        </w:rPr>
      </w:pPr>
      <w:r>
        <w:rPr>
          <w:b/>
          <w:sz w:val="44"/>
        </w:rPr>
        <w:t>на 20</w:t>
      </w:r>
      <w:r w:rsidR="00AB3DD9">
        <w:rPr>
          <w:b/>
          <w:sz w:val="44"/>
        </w:rPr>
        <w:t>2</w:t>
      </w:r>
      <w:r w:rsidR="007F32C7">
        <w:rPr>
          <w:b/>
          <w:sz w:val="44"/>
        </w:rPr>
        <w:t>6</w:t>
      </w:r>
      <w:r>
        <w:rPr>
          <w:b/>
          <w:sz w:val="44"/>
        </w:rPr>
        <w:t>-202</w:t>
      </w:r>
      <w:r w:rsidR="005A058B">
        <w:rPr>
          <w:b/>
          <w:sz w:val="44"/>
        </w:rPr>
        <w:t>8</w:t>
      </w:r>
      <w:r w:rsidR="002B68BE">
        <w:rPr>
          <w:b/>
          <w:sz w:val="44"/>
        </w:rPr>
        <w:t>г.</w:t>
      </w:r>
    </w:p>
    <w:p w:rsidR="002B68BE" w:rsidRDefault="002B68BE" w:rsidP="00235C58">
      <w:pPr>
        <w:jc w:val="center"/>
        <w:rPr>
          <w:b/>
          <w:sz w:val="40"/>
        </w:rPr>
      </w:pPr>
    </w:p>
    <w:p w:rsidR="00716949" w:rsidRDefault="00716949" w:rsidP="00235C58">
      <w:pPr>
        <w:jc w:val="center"/>
        <w:rPr>
          <w:b/>
          <w:sz w:val="40"/>
        </w:rPr>
      </w:pPr>
    </w:p>
    <w:p w:rsidR="002B68BE" w:rsidRDefault="002B68BE" w:rsidP="00235C58">
      <w:pPr>
        <w:jc w:val="center"/>
        <w:rPr>
          <w:b/>
          <w:sz w:val="28"/>
        </w:rPr>
      </w:pPr>
      <w:r>
        <w:rPr>
          <w:b/>
          <w:sz w:val="28"/>
        </w:rPr>
        <w:t xml:space="preserve">Гагарин </w:t>
      </w:r>
    </w:p>
    <w:p w:rsidR="002B68BE" w:rsidRDefault="00AB3DD9" w:rsidP="00FB6EB6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7F32C7">
        <w:rPr>
          <w:b/>
          <w:sz w:val="28"/>
        </w:rPr>
        <w:t>5</w:t>
      </w:r>
      <w:r w:rsidR="002B68BE">
        <w:rPr>
          <w:b/>
          <w:sz w:val="28"/>
        </w:rPr>
        <w:t>г.</w:t>
      </w:r>
    </w:p>
    <w:p w:rsidR="005F1235" w:rsidRDefault="00667288" w:rsidP="00667288">
      <w:pPr>
        <w:spacing w:before="240"/>
        <w:jc w:val="center"/>
        <w:rPr>
          <w:b/>
          <w:sz w:val="28"/>
          <w:szCs w:val="28"/>
        </w:rPr>
      </w:pPr>
      <w:bookmarkStart w:id="0" w:name="_GoBack"/>
      <w:bookmarkEnd w:id="0"/>
      <w:r w:rsidRPr="006B5374">
        <w:rPr>
          <w:b/>
          <w:sz w:val="28"/>
          <w:szCs w:val="28"/>
        </w:rPr>
        <w:t>Демографическая ситуация</w:t>
      </w:r>
    </w:p>
    <w:p w:rsidR="00CA5255" w:rsidRDefault="00CA5255" w:rsidP="00667288">
      <w:pPr>
        <w:spacing w:before="240"/>
        <w:jc w:val="center"/>
        <w:rPr>
          <w:b/>
          <w:sz w:val="28"/>
          <w:szCs w:val="28"/>
        </w:rPr>
      </w:pPr>
    </w:p>
    <w:p w:rsidR="00667288" w:rsidRDefault="009A1274" w:rsidP="009A12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667288" w:rsidRPr="00667288">
        <w:rPr>
          <w:bCs/>
          <w:sz w:val="28"/>
          <w:szCs w:val="28"/>
        </w:rPr>
        <w:t xml:space="preserve">Среднегодовая численность </w:t>
      </w:r>
      <w:r w:rsidR="00667288">
        <w:rPr>
          <w:bCs/>
          <w:sz w:val="28"/>
          <w:szCs w:val="28"/>
        </w:rPr>
        <w:t xml:space="preserve">постоянного </w:t>
      </w:r>
      <w:r w:rsidR="00667288" w:rsidRPr="00667288">
        <w:rPr>
          <w:bCs/>
          <w:sz w:val="28"/>
          <w:szCs w:val="28"/>
        </w:rPr>
        <w:t xml:space="preserve">населения </w:t>
      </w:r>
      <w:r w:rsidR="00667288">
        <w:rPr>
          <w:bCs/>
          <w:sz w:val="28"/>
          <w:szCs w:val="28"/>
        </w:rPr>
        <w:t xml:space="preserve">«Гагаринского </w:t>
      </w:r>
      <w:r w:rsidR="005F1235">
        <w:rPr>
          <w:bCs/>
          <w:sz w:val="28"/>
          <w:szCs w:val="28"/>
        </w:rPr>
        <w:t>муниципального округа</w:t>
      </w:r>
      <w:r w:rsidR="00667288">
        <w:rPr>
          <w:bCs/>
          <w:sz w:val="28"/>
          <w:szCs w:val="28"/>
        </w:rPr>
        <w:t xml:space="preserve">» Смоленской области </w:t>
      </w:r>
      <w:r w:rsidR="005F1235">
        <w:rPr>
          <w:bCs/>
          <w:sz w:val="28"/>
          <w:szCs w:val="28"/>
        </w:rPr>
        <w:t>на 31.12.2024</w:t>
      </w:r>
      <w:r w:rsidR="00667288">
        <w:rPr>
          <w:bCs/>
          <w:sz w:val="28"/>
          <w:szCs w:val="28"/>
        </w:rPr>
        <w:t xml:space="preserve"> составляет 3</w:t>
      </w:r>
      <w:r w:rsidR="005F1235">
        <w:rPr>
          <w:bCs/>
          <w:sz w:val="28"/>
          <w:szCs w:val="28"/>
        </w:rPr>
        <w:t>8625 тыс. человек (98,4 % к 2023</w:t>
      </w:r>
      <w:r w:rsidR="00667288">
        <w:rPr>
          <w:bCs/>
          <w:sz w:val="28"/>
          <w:szCs w:val="28"/>
        </w:rPr>
        <w:t xml:space="preserve"> году) из них </w:t>
      </w:r>
      <w:r>
        <w:rPr>
          <w:bCs/>
          <w:sz w:val="28"/>
          <w:szCs w:val="28"/>
        </w:rPr>
        <w:t xml:space="preserve">64,9 % приходится на городское и 35% </w:t>
      </w:r>
      <w:r w:rsidR="005F1235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 сельское население.</w:t>
      </w:r>
    </w:p>
    <w:p w:rsidR="009A1274" w:rsidRDefault="009A1274" w:rsidP="009A127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 анализируемом периоде в Гагаринском муниципальном округе наметилась тенденция </w:t>
      </w:r>
      <w:r w:rsidR="00CA5255">
        <w:rPr>
          <w:bCs/>
          <w:sz w:val="28"/>
          <w:szCs w:val="28"/>
        </w:rPr>
        <w:t>уменьшения</w:t>
      </w:r>
      <w:r>
        <w:rPr>
          <w:bCs/>
          <w:sz w:val="28"/>
          <w:szCs w:val="28"/>
        </w:rPr>
        <w:t xml:space="preserve"> показателя естественной убыли населения, что объясняется низкой рождаемостью и высоким уровнем смертности, естественной убылью. </w:t>
      </w:r>
    </w:p>
    <w:p w:rsidR="00A641D5" w:rsidRDefault="00A641D5" w:rsidP="00DD3193">
      <w:pPr>
        <w:jc w:val="both"/>
        <w:rPr>
          <w:bCs/>
          <w:sz w:val="28"/>
          <w:szCs w:val="28"/>
        </w:rPr>
      </w:pPr>
      <w:r>
        <w:rPr>
          <w:noProof/>
        </w:rPr>
        <w:drawing>
          <wp:inline distT="0" distB="0" distL="0" distR="0" wp14:anchorId="3CC6EB6A" wp14:editId="1EF80FD6">
            <wp:extent cx="4895850" cy="35242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D3193" w:rsidRPr="00DD3193" w:rsidRDefault="00DD3193" w:rsidP="00DD3193">
      <w:pPr>
        <w:jc w:val="both"/>
        <w:rPr>
          <w:bCs/>
          <w:sz w:val="28"/>
          <w:szCs w:val="28"/>
        </w:rPr>
      </w:pPr>
    </w:p>
    <w:p w:rsidR="005F1235" w:rsidRPr="000B668E" w:rsidRDefault="00DD3193" w:rsidP="000B66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разнообразным федеральным поддержкам направленных на улучшение качество жизни граждан на плановый период 2026 - 2028 г. прогнозируется у</w:t>
      </w:r>
      <w:r w:rsidRPr="00A335C2">
        <w:rPr>
          <w:sz w:val="28"/>
          <w:szCs w:val="28"/>
        </w:rPr>
        <w:t>величение продолжительности жизни</w:t>
      </w:r>
      <w:r>
        <w:rPr>
          <w:sz w:val="28"/>
          <w:szCs w:val="28"/>
        </w:rPr>
        <w:t>, снижение смертности населения, улучшение демографической ситуации в округе.</w:t>
      </w:r>
    </w:p>
    <w:p w:rsidR="00DD3193" w:rsidRPr="000B668E" w:rsidRDefault="000B668E" w:rsidP="000B668E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D4DA294" wp14:editId="3E2D3E53">
            <wp:extent cx="4895850" cy="26860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D3193" w:rsidRPr="00164E30" w:rsidRDefault="00DD3193" w:rsidP="005F1235">
      <w:pPr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E8600B" w:rsidRPr="00A335C2" w:rsidRDefault="00E8600B" w:rsidP="00E860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Прогнозные мероприятия для у</w:t>
      </w:r>
      <w:r w:rsidRPr="00A335C2">
        <w:rPr>
          <w:b/>
          <w:sz w:val="28"/>
          <w:szCs w:val="28"/>
        </w:rPr>
        <w:t>лучшение демографической ситуации</w:t>
      </w:r>
    </w:p>
    <w:p w:rsidR="005F1235" w:rsidRDefault="005F1235" w:rsidP="009A1274">
      <w:pPr>
        <w:jc w:val="both"/>
        <w:rPr>
          <w:bCs/>
          <w:sz w:val="28"/>
          <w:szCs w:val="28"/>
        </w:rPr>
      </w:pP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Цель - стабилизация численности населения и формирование предпосылок к последующему демографическому росту.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Задача 1. Обеспечение роста рождаемости.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Мероприятия: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создание условий для обеспечения жильем молодых семей;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оказание адресной помощи многодетным семьям и семьям, имеющим одного родителя;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обеспечение доступности и развитие системы услуг дошкольного образования;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организация отдыха и оздоровления детей;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развитие семейных форм устройства на воспитание в семьи граждан детей-сирот и детей, оставшихся без попечения родителей, а также оказание помощи семьям, имеющим детей-инвалидов;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повышение статуса семьи, роли материнства и семейных ценностей через средства массовой информации, социальную рекламу;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создание условий для женщин, возобновляющих свою трудовую деятельность после отпуска по уходу за ребенком, организация повышения их квалификации и переобучения профессиям, востребованным на рынке труда;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совершенствование организации учебы, работы и досуга молодежи в интересах сохранения и укрепления здоровья.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Задача 2. Увеличение продолжительности жизни, снижение смертности населения.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Мероприятия: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регулярное проведение диспансеризации населения, профилактика заболеваний;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повышение эффективности оказания специализированной медицинской помощи, включая высокотехнологичную;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снижение уровня аварийности на дорогах и травматизма при дорожно-транспортных происшествиях;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снижение младенческой смертности за счет укрепления репродуктивного здоровья родителей и совершенствования системы здравоохранения;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снижение масштабов смертности граждан трудоспособного возраста путем внедрения комплекса мер, направленных на уменьшение травматизма на производстве;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реализация комплекса мер по борьбе с болезнями, носящими социальный характер (наркомания, алкоголизм, туберкулез и другие);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пропаганда здорового образа жизни, развитие массовой физической культуры, формирование эффективной системы физкультурно-спортивного воспитания;</w:t>
      </w:r>
    </w:p>
    <w:p w:rsidR="0020760F" w:rsidRPr="00A335C2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улучшение экологической ситуации;</w:t>
      </w:r>
    </w:p>
    <w:p w:rsidR="0020760F" w:rsidRDefault="0020760F" w:rsidP="0020760F">
      <w:pPr>
        <w:ind w:firstLine="709"/>
        <w:jc w:val="both"/>
        <w:rPr>
          <w:sz w:val="28"/>
          <w:szCs w:val="28"/>
        </w:rPr>
      </w:pPr>
      <w:r w:rsidRPr="00A335C2">
        <w:rPr>
          <w:sz w:val="28"/>
          <w:szCs w:val="28"/>
        </w:rPr>
        <w:t>- создание новых возможностей и стимулов для вовлечения лиц пенсионного возраста в активную экономическую, общественную и культурную жизнь города.</w:t>
      </w:r>
    </w:p>
    <w:p w:rsidR="00E8600B" w:rsidRDefault="00E8600B" w:rsidP="0020760F">
      <w:pPr>
        <w:ind w:firstLine="709"/>
        <w:jc w:val="both"/>
        <w:rPr>
          <w:sz w:val="28"/>
          <w:szCs w:val="28"/>
        </w:rPr>
      </w:pPr>
    </w:p>
    <w:p w:rsidR="00C40151" w:rsidRDefault="00307F4F" w:rsidP="00665CE2">
      <w:pPr>
        <w:jc w:val="center"/>
        <w:rPr>
          <w:b/>
          <w:bCs/>
          <w:sz w:val="32"/>
          <w:szCs w:val="32"/>
        </w:rPr>
      </w:pPr>
      <w:r w:rsidRPr="00C7195F">
        <w:rPr>
          <w:b/>
          <w:bCs/>
          <w:sz w:val="32"/>
          <w:szCs w:val="32"/>
        </w:rPr>
        <w:t>ПРОМЫШЛЕННОСТЬ</w:t>
      </w:r>
    </w:p>
    <w:p w:rsidR="0034582C" w:rsidRPr="00665CE2" w:rsidRDefault="0034582C" w:rsidP="0034582C">
      <w:pPr>
        <w:jc w:val="center"/>
        <w:rPr>
          <w:sz w:val="32"/>
          <w:szCs w:val="32"/>
        </w:rPr>
      </w:pPr>
    </w:p>
    <w:p w:rsidR="00DD318D" w:rsidRPr="00DC1565" w:rsidRDefault="00DD318D" w:rsidP="00DD318D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C1565">
        <w:rPr>
          <w:color w:val="000000"/>
          <w:sz w:val="28"/>
          <w:szCs w:val="28"/>
        </w:rPr>
        <w:t xml:space="preserve">Отгрузка продукции является завершающей стадией процесса кругооборота средств предприятия, в результате чего готовые изделия обретают денежную форму. В условиях современной рыночной экономики роль анализа отгрузки и реализации продукции значительно возросла, так как оба данных показателя оказывают непосредственное влияние на развитие, как предприятия, так и района в целом. </w:t>
      </w:r>
    </w:p>
    <w:p w:rsidR="00276E53" w:rsidRDefault="00DD318D" w:rsidP="00276E53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C1565">
        <w:rPr>
          <w:color w:val="000000"/>
          <w:sz w:val="28"/>
          <w:szCs w:val="28"/>
        </w:rPr>
        <w:t xml:space="preserve">Основной задачей промышленных предприятий является наиболее полное обеспечение спроса населения высококачественной продукцией. </w:t>
      </w:r>
      <w:r w:rsidRPr="00DC1565">
        <w:rPr>
          <w:sz w:val="28"/>
          <w:szCs w:val="28"/>
        </w:rPr>
        <w:t>Сохранение действующих предприятий</w:t>
      </w:r>
      <w:r w:rsidRPr="00DC1565">
        <w:rPr>
          <w:color w:val="000000"/>
          <w:sz w:val="28"/>
          <w:szCs w:val="28"/>
        </w:rPr>
        <w:t>, наращивание темпов роста объема производственной продукции, повышение ее качества</w:t>
      </w:r>
      <w:r w:rsidRPr="00DC1565">
        <w:rPr>
          <w:sz w:val="28"/>
          <w:szCs w:val="28"/>
        </w:rPr>
        <w:t xml:space="preserve">, сохранение рабочих мест, является важным фактором, влияющим </w:t>
      </w:r>
      <w:r w:rsidRPr="00DC1565">
        <w:rPr>
          <w:color w:val="000000"/>
          <w:sz w:val="28"/>
          <w:szCs w:val="28"/>
        </w:rPr>
        <w:t xml:space="preserve">на </w:t>
      </w:r>
      <w:r w:rsidRPr="00DC1565">
        <w:rPr>
          <w:sz w:val="28"/>
          <w:szCs w:val="28"/>
        </w:rPr>
        <w:t xml:space="preserve">благосостояние жителей </w:t>
      </w:r>
      <w:r w:rsidR="00276E53">
        <w:rPr>
          <w:sz w:val="28"/>
          <w:szCs w:val="28"/>
        </w:rPr>
        <w:t>округа</w:t>
      </w:r>
      <w:r w:rsidRPr="00DC1565">
        <w:rPr>
          <w:sz w:val="28"/>
          <w:szCs w:val="28"/>
        </w:rPr>
        <w:t>.</w:t>
      </w:r>
      <w:r w:rsidR="00E04D3E">
        <w:rPr>
          <w:sz w:val="28"/>
          <w:szCs w:val="28"/>
        </w:rPr>
        <w:t xml:space="preserve"> </w:t>
      </w:r>
    </w:p>
    <w:p w:rsidR="00DD318D" w:rsidRDefault="00476E03" w:rsidP="00276E53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 2024 год на территории Гагаринского муниципального округа Смоленской области</w:t>
      </w:r>
      <w:r w:rsidRPr="00DC156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04D3E" w:rsidRPr="00DC1565">
        <w:rPr>
          <w:sz w:val="28"/>
          <w:szCs w:val="28"/>
        </w:rPr>
        <w:t xml:space="preserve">тгружено </w:t>
      </w:r>
      <w:r>
        <w:rPr>
          <w:sz w:val="28"/>
          <w:szCs w:val="28"/>
        </w:rPr>
        <w:t>69 652</w:t>
      </w:r>
      <w:r w:rsidR="009401A5">
        <w:rPr>
          <w:sz w:val="28"/>
          <w:szCs w:val="28"/>
        </w:rPr>
        <w:t> </w:t>
      </w:r>
      <w:r>
        <w:rPr>
          <w:sz w:val="28"/>
          <w:szCs w:val="28"/>
        </w:rPr>
        <w:t>535</w:t>
      </w:r>
      <w:r w:rsidR="009401A5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 xml:space="preserve"> </w:t>
      </w:r>
      <w:r w:rsidR="00E04D3E" w:rsidRPr="00DC1565">
        <w:rPr>
          <w:sz w:val="28"/>
          <w:szCs w:val="28"/>
        </w:rPr>
        <w:t>товаров собственного производства, выполнено работ и услуг собственными силами крупными организациями и субъекта</w:t>
      </w:r>
      <w:r w:rsidR="00E04D3E">
        <w:rPr>
          <w:sz w:val="28"/>
          <w:szCs w:val="28"/>
        </w:rPr>
        <w:t>ми среднего предпринимательства, за 9 месяцев 2025 года 63 585</w:t>
      </w:r>
      <w:r w:rsidR="00276E53">
        <w:rPr>
          <w:sz w:val="28"/>
          <w:szCs w:val="28"/>
        </w:rPr>
        <w:t> </w:t>
      </w:r>
      <w:r w:rsidR="00E04D3E">
        <w:rPr>
          <w:sz w:val="28"/>
          <w:szCs w:val="28"/>
        </w:rPr>
        <w:t>036</w:t>
      </w:r>
      <w:r w:rsidR="009401A5" w:rsidRPr="009401A5">
        <w:rPr>
          <w:sz w:val="28"/>
          <w:szCs w:val="28"/>
        </w:rPr>
        <w:t xml:space="preserve"> </w:t>
      </w:r>
      <w:r w:rsidR="009401A5">
        <w:rPr>
          <w:sz w:val="28"/>
          <w:szCs w:val="28"/>
        </w:rPr>
        <w:t>тыс.руб.</w:t>
      </w:r>
      <w:r w:rsidR="00276E53">
        <w:rPr>
          <w:sz w:val="28"/>
          <w:szCs w:val="28"/>
        </w:rPr>
        <w:t>,</w:t>
      </w:r>
      <w:r w:rsidR="00E04D3E">
        <w:rPr>
          <w:sz w:val="28"/>
          <w:szCs w:val="28"/>
        </w:rPr>
        <w:t xml:space="preserve"> индекс</w:t>
      </w:r>
      <w:r w:rsidR="00276E53">
        <w:rPr>
          <w:sz w:val="28"/>
          <w:szCs w:val="28"/>
        </w:rPr>
        <w:t>ы</w:t>
      </w:r>
      <w:r w:rsidR="00E04D3E">
        <w:rPr>
          <w:sz w:val="28"/>
          <w:szCs w:val="28"/>
        </w:rPr>
        <w:t xml:space="preserve"> производства по основн</w:t>
      </w:r>
      <w:r w:rsidR="00276E53">
        <w:rPr>
          <w:sz w:val="28"/>
          <w:szCs w:val="28"/>
        </w:rPr>
        <w:t>ым видам деятельности составляют: Промышленное</w:t>
      </w:r>
      <w:r w:rsidR="00276E53" w:rsidRPr="00276E53">
        <w:rPr>
          <w:sz w:val="28"/>
          <w:szCs w:val="28"/>
        </w:rPr>
        <w:t xml:space="preserve"> производства</w:t>
      </w:r>
      <w:r w:rsidR="00276E53">
        <w:rPr>
          <w:sz w:val="28"/>
          <w:szCs w:val="28"/>
        </w:rPr>
        <w:t xml:space="preserve">- </w:t>
      </w:r>
      <w:r w:rsidR="00276E53" w:rsidRPr="00276E53">
        <w:rPr>
          <w:sz w:val="28"/>
          <w:szCs w:val="28"/>
        </w:rPr>
        <w:t>106,3</w:t>
      </w:r>
      <w:r w:rsidR="00276E53">
        <w:rPr>
          <w:sz w:val="28"/>
          <w:szCs w:val="28"/>
        </w:rPr>
        <w:t xml:space="preserve">%, </w:t>
      </w:r>
      <w:r w:rsidR="00276E53" w:rsidRPr="00276E53">
        <w:rPr>
          <w:sz w:val="28"/>
          <w:szCs w:val="28"/>
        </w:rPr>
        <w:t>Обрабатывающие производства</w:t>
      </w:r>
      <w:r w:rsidR="00276E53">
        <w:rPr>
          <w:sz w:val="28"/>
          <w:szCs w:val="28"/>
        </w:rPr>
        <w:t xml:space="preserve"> –</w:t>
      </w:r>
      <w:r w:rsidR="00276E53" w:rsidRPr="00276E53">
        <w:t xml:space="preserve"> </w:t>
      </w:r>
      <w:r w:rsidR="00276E53" w:rsidRPr="00276E53">
        <w:rPr>
          <w:sz w:val="28"/>
          <w:szCs w:val="28"/>
        </w:rPr>
        <w:t>104,3</w:t>
      </w:r>
      <w:r w:rsidR="00276E53">
        <w:rPr>
          <w:sz w:val="28"/>
          <w:szCs w:val="28"/>
        </w:rPr>
        <w:t xml:space="preserve">%, </w:t>
      </w:r>
      <w:r w:rsidR="00276E53" w:rsidRPr="00276E53">
        <w:rPr>
          <w:sz w:val="28"/>
          <w:szCs w:val="28"/>
        </w:rPr>
        <w:t>Производство пищевых продуктов</w:t>
      </w:r>
      <w:r w:rsidR="00276E53">
        <w:rPr>
          <w:sz w:val="28"/>
          <w:szCs w:val="28"/>
        </w:rPr>
        <w:t xml:space="preserve"> - </w:t>
      </w:r>
      <w:r w:rsidR="00276E53" w:rsidRPr="00276E53">
        <w:rPr>
          <w:sz w:val="28"/>
          <w:szCs w:val="28"/>
        </w:rPr>
        <w:t>101,3</w:t>
      </w:r>
      <w:r w:rsidR="00276E53">
        <w:rPr>
          <w:sz w:val="28"/>
          <w:szCs w:val="28"/>
        </w:rPr>
        <w:t xml:space="preserve">%, </w:t>
      </w:r>
      <w:r w:rsidR="00276E53" w:rsidRPr="00276E53">
        <w:rPr>
          <w:color w:val="000000"/>
          <w:sz w:val="28"/>
          <w:szCs w:val="28"/>
        </w:rPr>
        <w:t>Производство текстильных изделий</w:t>
      </w:r>
      <w:r w:rsidR="00276E53">
        <w:rPr>
          <w:color w:val="000000"/>
          <w:sz w:val="28"/>
          <w:szCs w:val="28"/>
        </w:rPr>
        <w:t xml:space="preserve"> - </w:t>
      </w:r>
      <w:r w:rsidR="00276E53" w:rsidRPr="00276E53">
        <w:rPr>
          <w:color w:val="000000"/>
          <w:sz w:val="28"/>
          <w:szCs w:val="28"/>
        </w:rPr>
        <w:t>104,7</w:t>
      </w:r>
      <w:r w:rsidR="00276E53">
        <w:rPr>
          <w:color w:val="000000"/>
          <w:sz w:val="28"/>
          <w:szCs w:val="28"/>
        </w:rPr>
        <w:t xml:space="preserve">%, </w:t>
      </w:r>
      <w:r w:rsidR="00276E53" w:rsidRPr="00276E53">
        <w:rPr>
          <w:color w:val="000000"/>
          <w:sz w:val="28"/>
          <w:szCs w:val="28"/>
        </w:rPr>
        <w:t>Производство готовых металлических изделий, кроме машин и оборудования</w:t>
      </w:r>
      <w:r w:rsidR="00276E53">
        <w:rPr>
          <w:color w:val="000000"/>
          <w:sz w:val="28"/>
          <w:szCs w:val="28"/>
        </w:rPr>
        <w:t xml:space="preserve"> - </w:t>
      </w:r>
      <w:r w:rsidR="00276E53" w:rsidRPr="00276E53">
        <w:rPr>
          <w:color w:val="000000"/>
          <w:sz w:val="28"/>
          <w:szCs w:val="28"/>
        </w:rPr>
        <w:t>113,3</w:t>
      </w:r>
      <w:r w:rsidR="00276E53">
        <w:rPr>
          <w:color w:val="000000"/>
          <w:sz w:val="28"/>
          <w:szCs w:val="28"/>
        </w:rPr>
        <w:t xml:space="preserve">%, </w:t>
      </w:r>
      <w:r w:rsidR="00276E53" w:rsidRPr="00276E53">
        <w:rPr>
          <w:color w:val="000000"/>
          <w:sz w:val="28"/>
          <w:szCs w:val="28"/>
        </w:rPr>
        <w:t>Производство электрического оборудования</w:t>
      </w:r>
      <w:r w:rsidR="00276E53">
        <w:rPr>
          <w:color w:val="000000"/>
          <w:sz w:val="28"/>
          <w:szCs w:val="28"/>
        </w:rPr>
        <w:t xml:space="preserve"> - </w:t>
      </w:r>
      <w:r w:rsidR="00276E53" w:rsidRPr="00276E53">
        <w:rPr>
          <w:color w:val="000000"/>
          <w:sz w:val="28"/>
          <w:szCs w:val="28"/>
        </w:rPr>
        <w:t>102,2</w:t>
      </w:r>
      <w:r w:rsidR="00276E53">
        <w:rPr>
          <w:color w:val="000000"/>
          <w:sz w:val="28"/>
          <w:szCs w:val="28"/>
        </w:rPr>
        <w:t xml:space="preserve">%. </w:t>
      </w:r>
    </w:p>
    <w:p w:rsidR="006C2AC3" w:rsidRDefault="006C2AC3" w:rsidP="006C2A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Предприятиями Гагаринского муниципального округа Смоленской области в 2026-2028 г. ожидается увеличение отгрузки то</w:t>
      </w:r>
      <w:r w:rsidR="00D20D45">
        <w:rPr>
          <w:sz w:val="28"/>
          <w:szCs w:val="28"/>
        </w:rPr>
        <w:t>варов собственного производства за счет появления новых предприятий и организаций на территории округа.</w:t>
      </w:r>
    </w:p>
    <w:p w:rsidR="006C2AC3" w:rsidRDefault="006C2AC3" w:rsidP="00276E53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76E03" w:rsidRPr="00DC1565" w:rsidRDefault="00476E03" w:rsidP="00276E53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E6F9B" w:rsidRDefault="00665CE2" w:rsidP="003340E5">
      <w:pPr>
        <w:tabs>
          <w:tab w:val="left" w:pos="2895"/>
          <w:tab w:val="left" w:pos="2955"/>
          <w:tab w:val="center" w:pos="5017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СЕЛЬСКОЕ ХОЗЯЙСТВО</w:t>
      </w:r>
    </w:p>
    <w:p w:rsidR="004E562B" w:rsidRPr="003340E5" w:rsidRDefault="004E562B" w:rsidP="003340E5">
      <w:pPr>
        <w:tabs>
          <w:tab w:val="left" w:pos="2895"/>
          <w:tab w:val="left" w:pos="2955"/>
          <w:tab w:val="center" w:pos="5017"/>
        </w:tabs>
        <w:jc w:val="center"/>
        <w:rPr>
          <w:b/>
          <w:bCs/>
          <w:sz w:val="28"/>
          <w:szCs w:val="28"/>
        </w:rPr>
      </w:pPr>
    </w:p>
    <w:p w:rsidR="001A4CFE" w:rsidRDefault="00DD318D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4CFE">
        <w:rPr>
          <w:sz w:val="28"/>
          <w:szCs w:val="28"/>
        </w:rPr>
        <w:t>На территории муниципального образования «Гагаринский муниципальный округ» Смоленской области осуществляют деятельность 21 се</w:t>
      </w:r>
      <w:r w:rsidR="00E04D3E">
        <w:rPr>
          <w:sz w:val="28"/>
          <w:szCs w:val="28"/>
        </w:rPr>
        <w:t>льскохозяйственное предприятие.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действующих крестьянских (фермерских) хозяйств на территории муниципального образования – 7 и 3</w:t>
      </w:r>
      <w:r w:rsidR="00476E03">
        <w:rPr>
          <w:sz w:val="28"/>
          <w:szCs w:val="28"/>
        </w:rPr>
        <w:t xml:space="preserve"> индивидуальный предпринимателя</w:t>
      </w:r>
      <w:r>
        <w:rPr>
          <w:sz w:val="28"/>
          <w:szCs w:val="28"/>
        </w:rPr>
        <w:t xml:space="preserve"> На 01.01.2025 года в 16 сельскохозяйственных предприятиях округа, предоставляющих годовые отчеты, имеются в наличии основных средств 4708,1 млн. руб. 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общего количества основных средств: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>- здания, сооружения 1920,6 млн. руб.;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>- машины, оборудование 1226,2 млн.руб.;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>- транспортные средства 469 тыс. руб.;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производственный и хозяйственный инвентарь, продуктивный и рабочий скот 22,3 тыс. руб. 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сельскохозяйственных предприятиях машинно-тракторный парк насчитывает всего 587 шт. техники. Из них: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158 - тракторов различных марок; 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116 - машины и оборудование для обработки почвы; 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103 – машины для уборки урожая;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52 – прочие машины и оборудование для уборки урожая;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82 – прицепы и полуприцепы для сельского хозяйства;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 – транспортеры для уборки навоза;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 – грузовые автомобили;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 – дождевальные и поливальные машины.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Гагаринский район - зона племенного животноводства по разведению крупного рогатого скота. </w:t>
      </w:r>
    </w:p>
    <w:p w:rsidR="001A4CFE" w:rsidRDefault="001A4CFE" w:rsidP="001A4C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функционируют один племзавод СХПК колхоз-племзавод «Радищево». В этом хозяйстве сосредоточено 30 % от всего имеющегося поголовья крупного рогатого скота в сельхозпредприятиях района. В общем объеме молока, произведенного сельскохозяйственными товаропроизводителями района, 61 % приходится на долю СХПК к-п «Радищево».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Разведением крупного рогатого скота в районе занимаются 8 сельскохозяйственных предприятий (включая одного индивидуального предпринимателя). По состоянию на 01.01.2025 г. поголовье крупного рогатого скота в сельскохозяйственных предприятиях составило 4456 головы, что на 373 голов больше по сравнению с прошлым годом, в том числе 2083 коров – на 27 голов больше уровня 2024 года. Произошло увеличение поголовья КРС в следующих хозяйствах: СХПК к-п «Радищево» на 436 голов, ООО «Радищево» на 16 голов, ООО «ФХ «Добрыня» на 4 головы. Уменьшение поголовья крупного рогатого скота произошло в следующих сельхозпредприятиях района: АО «АПФ «Наша Житница» на 38 голов, ООО «Баскаково - Агро» на 24 головы, ООО «Зеленая Ферма» на 21 голову. Поголовье крупного рогатого скота в хозяйствах всех категорий составило 5100 голов (+427 головы), в том числе поголовье коров в хозяйствах всех категорий 2379 гол. (+48 головы).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Валовой надой за 2024 год в сельскохозяйственных предприятиях составил 7258,46 тонны (+26 % к уровню 2023 года). Удой на фуражную корову за 2024 года составил 7414,16 кг (+208,84 кг.).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Валовой надой молока в хозяйствах всех категорий составил 8319,16 тонны (+ 1641,25 тн.).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Поголовье свиней ООО «Мясной разгуляй» 5917 голов в том числе свиноматок 435, хряков 8.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Поголовье кроликов ООО «Кролик и К» 347,225 тыс. в том числе кроликоматок 37,519 тыс.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яиц в хозяйствах всех категорий составило 2,0 тыс. шт.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2024 году производство скота и птицы на убой в ж.в. в хозяйствах всех категорий составило 5455 тонн (- 586 тн. (2023 год))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Воспроизводство КРС скота молочных пород сельхоз организаций составило 1340 голов (-144 головы). Получено приплода молочных коров 1229 голов (- 3 головы).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тенденциями развития животноводства являются: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и обеспечение роста численности и продуктивности животных;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выращивание и реализация племенного молодняка крупного рогатого скота;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племенных и репродуктивных качеств разводимого скота.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направление повышения продуктивности животных и увеличения объема производства продукции животноводства это: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освоение более экономичных технологий содержания скота (реконструкция помещений для беспривязного содержания, внедрение в производство современных методов выращивания молодняка и т.д.), повышение уровня механизации и автоматизации, в том числе строительство, реконструкция и модернизация животноводческих объектов;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полноценное и обильное кормление скота на основе прочной кормовой базы, сбалансированного рациона;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кормовой базы за счет введения в севооборот высокоэнергетичных многолетних трав;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племенных и продуктивных качеств животных, улучшение их генетического потенциала;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работы по воспроизводству стада, направленное на выращивание молодняка и ликвидация яловости коров;</w:t>
      </w:r>
    </w:p>
    <w:p w:rsidR="001A4CFE" w:rsidRDefault="001A4CFE" w:rsidP="001A4C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улучшение качества производимой продукции.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Растениеводство в Гагаринском районе специализируется на выращивании кормовых и зерновых культур, конопли, рапса, картофеля.</w:t>
      </w:r>
    </w:p>
    <w:p w:rsidR="001A4CFE" w:rsidRDefault="001A4CFE" w:rsidP="001A4CFE">
      <w:pPr>
        <w:ind w:firstLine="708"/>
        <w:rPr>
          <w:sz w:val="28"/>
          <w:szCs w:val="28"/>
        </w:rPr>
      </w:pPr>
      <w:r>
        <w:rPr>
          <w:sz w:val="28"/>
          <w:szCs w:val="28"/>
        </w:rPr>
        <w:t>Яровой сев в 2025 году по сельскохозяйственным предприятиям всего составил 7308 га (- 378 га), из них: 3788 га (+504 га) - зерновые и зернобобовые, лен – 232 га (+70 га); ООО «Рассвет» - 120 га; ООО СХП «Восток» 52 га; ООО «ЭР ДВА» -60 га, картофель – 27 га (ООО «Рассвет» - 6 га, ИП глава К(Ф)Х Титков А. А. – 10 га, ИП Глава К(Ф)Х Сандркин П.М. – 5 га, ИП Глава К(Ф)Х и ИП Титкова В. А. – 6 га). Однолетних силосных культур посеяно на площади 1078 га. (+286га). Беспокровных трав 606 га (-1083га). Рапс - 1544 га (+ 267 га). Техническая конопля – 33 га (+1 га) в ООО «Рассвет». Кукуруза на корм – 1005 га (+346га).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Посеяно озимых зерновых под урожай 2025 года 2642 га (+188 га к уровню 2024 г.): АО «АПФ «Наша Житница» - 1703 га (+ 220 га), СХПК к-п «Радищево» - 635 га (- 71 га), ООО «Новый Деловой Дом» - 304 га (+234 га), ООО «Колос» - 0 га (-155 га), ООО СХП «Восток» - 0 га (- 40 га).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развития растениеводства станут дальнейшее расширение посевных площадей под сельскохозяйственными культурами и рост урожайности сельскохозяйственных культур, обусловленный высоким уровнем агротехники (обновление парка сельскохозяйственных машин, новые технологии, развитие семеноводства).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тенденцией развития растениеводства является: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восстановление и повышение плодородия почв;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мелиорации сельскохозяйственных угодий;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энергосберегающих технологий при выращивании с/х культур;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-внедрение перспективных высокоурожайных сортов и гибридов сельскохозяйственных культур;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посевов зернобобовых культур;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посевных площадей семенами элиты;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сидеральных паров с целью повышения плодородия почв;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-запашка измельченной соломы;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культуртехнических работ.</w:t>
      </w:r>
    </w:p>
    <w:p w:rsidR="001A4CFE" w:rsidRDefault="001A4CFE" w:rsidP="001A4C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Сельхозпредприятия района участвуют в реализации областной государственной программы «Развитие сельского хозяйства и регулирования рынков сельскохозяйственной продукции, сырья и продовольствия в Смоленской области» и в муниципальной программе муниципального образования «Гагаринский район» Смоленской области «Создание условия для развития сельского хозяйства в Гагаринском районе Смоленской области».</w:t>
      </w:r>
    </w:p>
    <w:p w:rsidR="001A4CFE" w:rsidRDefault="001A4CFE" w:rsidP="001A4C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Всего на поддержку товаропроизводителей агропромышленного комплекса в 2024 году было выделено 97359 млн. рублей.</w:t>
      </w:r>
    </w:p>
    <w:p w:rsidR="00DA287B" w:rsidRPr="00BB1E7F" w:rsidRDefault="00DA287B" w:rsidP="00DA287B">
      <w:pPr>
        <w:jc w:val="both"/>
        <w:rPr>
          <w:sz w:val="28"/>
          <w:szCs w:val="28"/>
        </w:rPr>
      </w:pPr>
      <w:r w:rsidRPr="00BB1E7F">
        <w:rPr>
          <w:sz w:val="28"/>
          <w:szCs w:val="28"/>
        </w:rPr>
        <w:t xml:space="preserve">Сельхозпредприятия </w:t>
      </w:r>
      <w:r>
        <w:rPr>
          <w:sz w:val="28"/>
          <w:szCs w:val="28"/>
        </w:rPr>
        <w:t>округа</w:t>
      </w:r>
      <w:r w:rsidRPr="00BB1E7F">
        <w:rPr>
          <w:sz w:val="28"/>
          <w:szCs w:val="28"/>
        </w:rPr>
        <w:t xml:space="preserve"> участвуют в реализации областной государственной программы «Развитие сельского хозяйства и регулирования рынков сельскохозяйственной продукции, сырья и продовольствия в Смоленской области» и в муниципальной программе муниципального образования «Гагаринский муниципальный округ» Смоленской области «Создание условия для развития сельского хозяйства в Гагаринском округе Смоленской области».</w:t>
      </w:r>
    </w:p>
    <w:p w:rsidR="00DA287B" w:rsidRPr="00BB1E7F" w:rsidRDefault="00DA287B" w:rsidP="00DA287B">
      <w:pPr>
        <w:ind w:firstLine="708"/>
        <w:jc w:val="both"/>
        <w:rPr>
          <w:sz w:val="28"/>
          <w:szCs w:val="28"/>
        </w:rPr>
      </w:pPr>
      <w:r w:rsidRPr="00BB1E7F">
        <w:rPr>
          <w:sz w:val="28"/>
          <w:szCs w:val="28"/>
        </w:rPr>
        <w:t>Всего на поддержку товаропроизводителей агропромышленного комплекса в 2025 году было выделено 33429 млн. рублей.</w:t>
      </w:r>
    </w:p>
    <w:p w:rsidR="00DA287B" w:rsidRPr="00BB1E7F" w:rsidRDefault="00DA287B" w:rsidP="00DA287B">
      <w:pPr>
        <w:ind w:firstLine="708"/>
        <w:jc w:val="both"/>
        <w:rPr>
          <w:sz w:val="28"/>
          <w:szCs w:val="28"/>
        </w:rPr>
      </w:pPr>
      <w:r w:rsidRPr="00BB1E7F">
        <w:rPr>
          <w:sz w:val="28"/>
          <w:szCs w:val="28"/>
        </w:rPr>
        <w:t>На территории Гагаринского муниципального округа в 2026</w:t>
      </w:r>
      <w:r>
        <w:rPr>
          <w:sz w:val="28"/>
          <w:szCs w:val="28"/>
        </w:rPr>
        <w:t>-2028</w:t>
      </w:r>
      <w:r w:rsidRPr="00BB1E7F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BB1E7F">
        <w:rPr>
          <w:sz w:val="28"/>
          <w:szCs w:val="28"/>
        </w:rPr>
        <w:t>планируется увеличение посевных площадей под сельскохозяйственные культуры: рапс (яровой и озимый), лен-долгунец, картофель. Увеличение посевных площадей под сельскохозяйственные культуры планируется за счет проведение культуртехнических работ и вовлечение в оборот земель сельхозназначения.</w:t>
      </w:r>
    </w:p>
    <w:p w:rsidR="00DA287B" w:rsidRDefault="00DA287B" w:rsidP="00DA287B">
      <w:pPr>
        <w:ind w:firstLine="708"/>
        <w:jc w:val="both"/>
        <w:rPr>
          <w:sz w:val="28"/>
          <w:szCs w:val="28"/>
        </w:rPr>
      </w:pPr>
      <w:r w:rsidRPr="00BB1E7F">
        <w:rPr>
          <w:sz w:val="28"/>
          <w:szCs w:val="28"/>
        </w:rPr>
        <w:t>Увеличение поголовья КРС планируется в организациях как СХПК колхоз-племзавод «Радищево», АО «АПФ «НАША ЖИТНИЦА»,  ООО «ФХ Добрыня».</w:t>
      </w:r>
    </w:p>
    <w:p w:rsidR="00DA287B" w:rsidRPr="00665CE2" w:rsidRDefault="00DA287B" w:rsidP="00DA287B">
      <w:pPr>
        <w:jc w:val="both"/>
        <w:rPr>
          <w:b/>
          <w:sz w:val="32"/>
          <w:szCs w:val="32"/>
        </w:rPr>
      </w:pPr>
    </w:p>
    <w:p w:rsidR="00DA287B" w:rsidRDefault="00DA287B" w:rsidP="001A4CFE">
      <w:pPr>
        <w:ind w:firstLine="708"/>
        <w:jc w:val="both"/>
        <w:rPr>
          <w:sz w:val="28"/>
          <w:szCs w:val="28"/>
        </w:rPr>
      </w:pPr>
    </w:p>
    <w:p w:rsidR="006F62DB" w:rsidRPr="00665CE2" w:rsidRDefault="006F62DB" w:rsidP="001A4CFE">
      <w:pPr>
        <w:jc w:val="both"/>
        <w:rPr>
          <w:b/>
          <w:sz w:val="32"/>
          <w:szCs w:val="32"/>
        </w:rPr>
      </w:pPr>
    </w:p>
    <w:p w:rsidR="008B5E74" w:rsidRPr="00774F50" w:rsidRDefault="008B5E74" w:rsidP="008B5E74">
      <w:pPr>
        <w:spacing w:line="20" w:lineRule="atLeast"/>
        <w:jc w:val="center"/>
        <w:rPr>
          <w:b/>
          <w:sz w:val="32"/>
          <w:szCs w:val="32"/>
        </w:rPr>
      </w:pPr>
      <w:r w:rsidRPr="00774F50">
        <w:rPr>
          <w:b/>
          <w:sz w:val="32"/>
          <w:szCs w:val="32"/>
        </w:rPr>
        <w:t>МАЛЫЙ БИЗНЕС</w:t>
      </w:r>
      <w:r>
        <w:rPr>
          <w:b/>
          <w:sz w:val="32"/>
          <w:szCs w:val="32"/>
        </w:rPr>
        <w:t>.</w:t>
      </w:r>
    </w:p>
    <w:p w:rsidR="008B5E74" w:rsidRDefault="008B5E74" w:rsidP="008B5E74">
      <w:pPr>
        <w:spacing w:line="20" w:lineRule="atLeast"/>
        <w:ind w:firstLine="720"/>
        <w:jc w:val="both"/>
        <w:rPr>
          <w:sz w:val="28"/>
          <w:szCs w:val="28"/>
        </w:rPr>
      </w:pPr>
    </w:p>
    <w:p w:rsidR="007F1DD7" w:rsidRDefault="007F1DD7" w:rsidP="007F1D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экономики округа малое и среднее предпринимательство (далее - МСП) является одним из важнейших элементов рыночной экономики и вносит существенный вклад в его социально-экономическое развитие. Вместе с тем у МСП в округе имеется ряд проблем: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цен на энергоносители и сырье;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недостаточность собственных средств на развитие и высокая стоимость заемных средств;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нехватка квалифицированных специалистов;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высокая доля нелегального предпринимательства;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отсутствуют в достаточном объеме финансовые ресурсы в местных бюджетах на развитие субъектов МСП;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низкий уровень активности и покупательской способности населения, особенно проживающего в сельской местности.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МСП имеет большое значение для округа, поскольку этот сектор, как никакой другой, способен быстро реагировать на потребности рынка во всех сферах экономики, обеспечение самозанятости граждан и относится к числу приоритетных социально-экономических задач. Одним из основных индикаторов качества экономической среды является количество субъектов МСП.</w:t>
      </w:r>
    </w:p>
    <w:p w:rsidR="007F1DD7" w:rsidRDefault="007F1DD7" w:rsidP="007F1DD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Согласно единому реестру субъектов МСП Федеральной налоговой службы на начало 2025 года в муниципальном образовании «Гагаринский муниципальный округ» Смоленской области насчитывалось 430 малых и средних предприятий, включая микропредприятия. Среднесписочная численность занятых на малых и средних предприятиях составляет 2,629 тыс. человек.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общего числа субъектов МСП 38,0% занимаются оптовой и розничной торговлей, 17,4% промышленным производством, 14,6% транспортом и связью, 5,7 % сельским хозяйством, 24,3 % прочими видами услуг.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2026-2028 годы планируется незначительное увеличение числа субъектов МСП.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развития МСП на 2026 год и на период до 2028 года рассчитан на основании анализа статистических данных, оценки развития МСП в 2025 году.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Число предприятий МСП в 2025 году по прогнозным данным составит 435 единиц, а к 2028 году увеличится до 448 единиц.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численность занятых на МСП планирует достигнуть 2,668 тыс. человек, в 2028 году численность работников планируется увеличить до 2,79 тыс. человек за счет увеличения рабочих мест на промышленных производствах.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Индекс производства МСП на прогнозируемый период будет иметь положительную динамику. По прогнозным данным планируемый оборот МСП (включая микропредприятия) до 2028 года должен составить 23,351.</w:t>
      </w:r>
    </w:p>
    <w:p w:rsidR="00E23DC7" w:rsidRPr="00276E53" w:rsidRDefault="007F1DD7" w:rsidP="00276E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рост оборота МСП связан с ожидаемым ростом потребительского спроса, поддержанным увеличением денежных доходов населения.</w:t>
      </w:r>
    </w:p>
    <w:p w:rsidR="00CE169E" w:rsidRPr="0010553C" w:rsidRDefault="00CE169E" w:rsidP="0010553C">
      <w:pPr>
        <w:ind w:firstLine="709"/>
        <w:jc w:val="both"/>
        <w:rPr>
          <w:sz w:val="28"/>
          <w:szCs w:val="28"/>
        </w:rPr>
      </w:pPr>
    </w:p>
    <w:p w:rsidR="008820D7" w:rsidRDefault="008820D7" w:rsidP="008820D7">
      <w:pPr>
        <w:jc w:val="both"/>
        <w:rPr>
          <w:highlight w:val="yellow"/>
        </w:rPr>
      </w:pPr>
    </w:p>
    <w:p w:rsidR="008820D7" w:rsidRDefault="0056398E" w:rsidP="00665C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ФИНАНСЫ</w:t>
      </w:r>
    </w:p>
    <w:p w:rsidR="00956E00" w:rsidRDefault="00956E00" w:rsidP="00665CE2">
      <w:pPr>
        <w:jc w:val="center"/>
        <w:rPr>
          <w:b/>
          <w:sz w:val="32"/>
          <w:szCs w:val="32"/>
        </w:rPr>
      </w:pPr>
    </w:p>
    <w:p w:rsidR="00956E00" w:rsidRPr="00956E00" w:rsidRDefault="00956E00" w:rsidP="00665CE2">
      <w:pPr>
        <w:jc w:val="center"/>
        <w:rPr>
          <w:b/>
          <w:sz w:val="28"/>
          <w:szCs w:val="28"/>
        </w:rPr>
      </w:pPr>
      <w:r w:rsidRPr="00956E00">
        <w:rPr>
          <w:b/>
          <w:sz w:val="28"/>
          <w:szCs w:val="28"/>
        </w:rPr>
        <w:t>Доходы</w:t>
      </w:r>
    </w:p>
    <w:p w:rsidR="007F1DD7" w:rsidRDefault="007F1DD7" w:rsidP="007F1D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фактическим поступлением доходов за 2024 год ожидаемое поступление доходов консолидированного бюджета муниципального образования «Гагаринский муниципальный округ» Смоленск</w:t>
      </w:r>
      <w:r w:rsidR="006446DE">
        <w:rPr>
          <w:sz w:val="28"/>
          <w:szCs w:val="28"/>
        </w:rPr>
        <w:t>ой области в 2025 году увеличилось на 600,2</w:t>
      </w:r>
      <w:r>
        <w:rPr>
          <w:sz w:val="28"/>
          <w:szCs w:val="28"/>
        </w:rPr>
        <w:t xml:space="preserve"> млн. рублей. Увеличение доходов связано с увеличением налоговых и неналоговых доходов на </w:t>
      </w:r>
      <w:r w:rsidR="006446DE">
        <w:rPr>
          <w:sz w:val="28"/>
          <w:szCs w:val="28"/>
        </w:rPr>
        <w:t>106,1</w:t>
      </w:r>
      <w:r>
        <w:t xml:space="preserve"> </w:t>
      </w:r>
      <w:r>
        <w:rPr>
          <w:sz w:val="28"/>
          <w:szCs w:val="28"/>
        </w:rPr>
        <w:t xml:space="preserve">млн. рублей, увеличением безвозмездных поступлений на </w:t>
      </w:r>
      <w:r w:rsidR="006446DE">
        <w:rPr>
          <w:sz w:val="28"/>
          <w:szCs w:val="28"/>
        </w:rPr>
        <w:t>494,1</w:t>
      </w:r>
      <w:r>
        <w:rPr>
          <w:sz w:val="28"/>
          <w:szCs w:val="28"/>
        </w:rPr>
        <w:t xml:space="preserve"> млн. рублей. </w:t>
      </w:r>
    </w:p>
    <w:p w:rsidR="007F1DD7" w:rsidRDefault="007F1DD7" w:rsidP="007F1D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2024 годом в 2025 году ожидается увеличение налоговых и неналоговых доходов за счет увеличения поступлений налога на доходы физических лиц, акцизов по подакцизным товарам, налогов на совокупный доход, </w:t>
      </w:r>
      <w:r w:rsidR="006446DE">
        <w:rPr>
          <w:sz w:val="28"/>
          <w:szCs w:val="28"/>
        </w:rPr>
        <w:t xml:space="preserve">земельного налога, </w:t>
      </w:r>
      <w:r>
        <w:rPr>
          <w:sz w:val="28"/>
          <w:szCs w:val="28"/>
        </w:rPr>
        <w:t>налога на добычу полезных ископаемых, государственной пошлины по делам, рассматриваемым судами общей юрисдикции и мировыми судьями, платы за негативное воздействие на окружающую среду, штрафов.</w:t>
      </w:r>
    </w:p>
    <w:p w:rsidR="007F1DD7" w:rsidRDefault="007F1DD7" w:rsidP="007F1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2024 годом в 2025 году ожидается увеличение безвозмездных поступлений за счет увеличения субсидий и субвенций.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поступлений налога на доходы физических лиц в бюджет муниципального образования «Гагаринский муниципальный округ» Смоленской области на 2025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год произведен исходя из фактического поступления налога за 2024 год и показателей социально-экономического развития муниципального образования «Гагаринский муниципальный округ» Смоленской области на 2025 год и плановый период 2026 и 2027 годов по установленным нормативам зачисления налога в бюджет муниципального образования «Гагаринский муниципальный округ» Смоленской области.</w:t>
      </w:r>
    </w:p>
    <w:p w:rsidR="007F1DD7" w:rsidRDefault="007F1DD7" w:rsidP="007F1DD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прогнозируемых поступлений налога </w:t>
      </w:r>
      <w:r w:rsidR="00837BE3" w:rsidRPr="00837BE3">
        <w:rPr>
          <w:sz w:val="28"/>
          <w:szCs w:val="28"/>
        </w:rPr>
        <w:t xml:space="preserve">на доходы физических лиц </w:t>
      </w:r>
      <w:r>
        <w:rPr>
          <w:sz w:val="28"/>
          <w:szCs w:val="28"/>
        </w:rPr>
        <w:t>в 2025 году по сравнению с фактическим поступлением 2024 года связано с увеличением налогооблагаемой базы в связи с ростом фонда оплаты труда.</w:t>
      </w:r>
    </w:p>
    <w:p w:rsidR="007F1DD7" w:rsidRDefault="007F1DD7" w:rsidP="007F1D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Рост поступлений налога, взимаемого в связи с применением упрощенной системы налогообложения, налога, взимаемого в связи с применением патентной систем</w:t>
      </w:r>
      <w:r w:rsidR="001468AE">
        <w:rPr>
          <w:sz w:val="28"/>
          <w:szCs w:val="28"/>
        </w:rPr>
        <w:t>ы налогообложения в 2025-2028</w:t>
      </w:r>
      <w:r>
        <w:rPr>
          <w:sz w:val="28"/>
          <w:szCs w:val="28"/>
        </w:rPr>
        <w:t xml:space="preserve"> годах прогнозируется за счет роста налогооблагаемой базы.</w:t>
      </w:r>
    </w:p>
    <w:p w:rsidR="007F1DD7" w:rsidRDefault="007F1DD7" w:rsidP="007F1D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 налогу на </w:t>
      </w:r>
      <w:r w:rsidR="001468AE">
        <w:rPr>
          <w:sz w:val="28"/>
          <w:szCs w:val="28"/>
        </w:rPr>
        <w:t>имущество физических лиц на 2026-2028</w:t>
      </w:r>
      <w:r>
        <w:rPr>
          <w:sz w:val="28"/>
          <w:szCs w:val="28"/>
        </w:rPr>
        <w:t xml:space="preserve"> год рассчитан исходя из </w:t>
      </w:r>
      <w:r w:rsidR="001468AE">
        <w:rPr>
          <w:sz w:val="28"/>
          <w:szCs w:val="28"/>
        </w:rPr>
        <w:t>ожидаемого поступления налога в 2025</w:t>
      </w:r>
      <w:r>
        <w:rPr>
          <w:sz w:val="28"/>
          <w:szCs w:val="28"/>
        </w:rPr>
        <w:t xml:space="preserve"> году с учетом прогнозных темпов роста стоимости строений, помещений и сооружений, находящихся в собственности физических лиц. </w:t>
      </w:r>
    </w:p>
    <w:p w:rsidR="007F1DD7" w:rsidRDefault="007F1DD7" w:rsidP="007F1D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 земельному налогу на </w:t>
      </w:r>
      <w:r w:rsidR="001468AE" w:rsidRPr="001468AE">
        <w:rPr>
          <w:sz w:val="28"/>
          <w:szCs w:val="28"/>
        </w:rPr>
        <w:t xml:space="preserve">2026-2028 </w:t>
      </w:r>
      <w:r>
        <w:rPr>
          <w:sz w:val="28"/>
          <w:szCs w:val="28"/>
        </w:rPr>
        <w:t xml:space="preserve">год рассчитан исходя из </w:t>
      </w:r>
      <w:r w:rsidR="001468AE" w:rsidRPr="001468AE">
        <w:rPr>
          <w:sz w:val="28"/>
          <w:szCs w:val="28"/>
        </w:rPr>
        <w:t xml:space="preserve">ожидаемого поступления налога в 2025 году </w:t>
      </w:r>
      <w:r>
        <w:rPr>
          <w:sz w:val="28"/>
          <w:szCs w:val="28"/>
        </w:rPr>
        <w:t xml:space="preserve">с учетом изменения кадастровой стоимости земельных участков за прошедшие периоды. </w:t>
      </w:r>
    </w:p>
    <w:p w:rsidR="007F1DD7" w:rsidRDefault="001468AE" w:rsidP="007F1DD7">
      <w:pPr>
        <w:ind w:firstLine="540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</w:rPr>
        <w:t>Прогноз</w:t>
      </w:r>
      <w:r w:rsidR="007F1DD7">
        <w:rPr>
          <w:sz w:val="28"/>
          <w:szCs w:val="28"/>
        </w:rPr>
        <w:t xml:space="preserve"> поступлений налога на добычу полезных ископаемых произведен исходя из поступления налога в бюджет за 2024 год</w:t>
      </w:r>
      <w:r w:rsidR="00647B15">
        <w:rPr>
          <w:sz w:val="28"/>
          <w:szCs w:val="28"/>
        </w:rPr>
        <w:t xml:space="preserve"> и сведений об ожидаемых объемах</w:t>
      </w:r>
      <w:r w:rsidR="007F1DD7">
        <w:rPr>
          <w:sz w:val="28"/>
          <w:szCs w:val="28"/>
        </w:rPr>
        <w:t xml:space="preserve"> добычи общераспространенных полезных ископаемых по данным Министерства Смоленской области по природным ресурсам и экологии. </w:t>
      </w:r>
      <w:r w:rsidR="007F1DD7">
        <w:rPr>
          <w:sz w:val="28"/>
          <w:szCs w:val="28"/>
          <w:lang w:val="x-none" w:eastAsia="x-none"/>
        </w:rPr>
        <w:t xml:space="preserve">Налог на добычу полезных ископаемых подлежит зачислению в бюджет муниципального образования по единому нормативу </w:t>
      </w:r>
      <w:r w:rsidR="007F1DD7">
        <w:rPr>
          <w:sz w:val="28"/>
          <w:szCs w:val="28"/>
          <w:lang w:eastAsia="x-none"/>
        </w:rPr>
        <w:t xml:space="preserve">отчислений - </w:t>
      </w:r>
      <w:r w:rsidR="007F1DD7">
        <w:rPr>
          <w:sz w:val="28"/>
          <w:szCs w:val="28"/>
          <w:lang w:val="x-none" w:eastAsia="x-none"/>
        </w:rPr>
        <w:t>100 процентов.</w:t>
      </w:r>
    </w:p>
    <w:p w:rsidR="007F1DD7" w:rsidRDefault="001468AE" w:rsidP="007F1D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x-none"/>
        </w:rPr>
        <w:t xml:space="preserve">Прогноз ожидаемых </w:t>
      </w:r>
      <w:r w:rsidR="007F1DD7">
        <w:rPr>
          <w:sz w:val="28"/>
          <w:szCs w:val="28"/>
          <w:lang w:eastAsia="x-none"/>
        </w:rPr>
        <w:t>поступлений н</w:t>
      </w:r>
      <w:r>
        <w:rPr>
          <w:sz w:val="28"/>
          <w:szCs w:val="28"/>
        </w:rPr>
        <w:t>а 2025 год, прогноз поступлений на 2026-2028 года</w:t>
      </w:r>
      <w:r w:rsidR="007F1DD7">
        <w:rPr>
          <w:sz w:val="28"/>
          <w:szCs w:val="28"/>
        </w:rPr>
        <w:t xml:space="preserve"> доходов от использования имущества, находящегося в муниципальной собственности, доходов от продажи материальных и нематериальных активов выполнен на основе прогноза данных, представленных главными администраторами доходов бюджета муниципального образования «Гагаринский муниципальный округ» Смоленской области по закрепленным доходным источникам.</w:t>
      </w:r>
    </w:p>
    <w:p w:rsidR="007F1DD7" w:rsidRDefault="007F1DD7" w:rsidP="007F1D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прогноза доходов, поступающих в виде арендной платы за земельные участки расчетные показатели определены исходя из фактически заключенных договоров аренды с учетом ставок арендной платы за земельные участки по видам разрешенного использования земель и категориям арендаторов и установленных понижающих коэффициентов к утвержденным ставкам.</w:t>
      </w:r>
    </w:p>
    <w:p w:rsidR="007F1DD7" w:rsidRDefault="007F1DD7" w:rsidP="007F1DD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прогноза </w:t>
      </w:r>
      <w:r w:rsidR="00647B15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>по аренде муниципального имущества расчетные показатели определены исходя из площадей, сдаваемых в аренду нежилых помещений и сложившейся средней ставки арендной платы,</w:t>
      </w:r>
      <w:r>
        <w:t xml:space="preserve"> </w:t>
      </w:r>
      <w:r>
        <w:rPr>
          <w:sz w:val="28"/>
          <w:szCs w:val="28"/>
        </w:rPr>
        <w:t>а также платы за социальный найм муниципального жилья.</w:t>
      </w:r>
    </w:p>
    <w:p w:rsidR="007F1DD7" w:rsidRDefault="007F1DD7" w:rsidP="007F1DD7">
      <w:pPr>
        <w:ind w:firstLine="709"/>
        <w:jc w:val="center"/>
        <w:rPr>
          <w:b/>
          <w:sz w:val="28"/>
          <w:szCs w:val="28"/>
        </w:rPr>
      </w:pPr>
    </w:p>
    <w:p w:rsidR="007F1DD7" w:rsidRDefault="007F1DD7" w:rsidP="007F1DD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7F1DD7" w:rsidRDefault="007F1DD7" w:rsidP="007F1D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расходов консолидированного бюджета Гагаринского района за 2024 год составило 1 740,6 млн. рублей. Ожидаемое исполнение в 2025 году планируется в сумме 2 </w:t>
      </w:r>
      <w:r w:rsidR="004A3096">
        <w:rPr>
          <w:sz w:val="28"/>
          <w:szCs w:val="28"/>
        </w:rPr>
        <w:t>379</w:t>
      </w:r>
      <w:r>
        <w:rPr>
          <w:sz w:val="28"/>
          <w:szCs w:val="28"/>
        </w:rPr>
        <w:t>,</w:t>
      </w:r>
      <w:r w:rsidR="004A3096">
        <w:rPr>
          <w:sz w:val="28"/>
          <w:szCs w:val="28"/>
        </w:rPr>
        <w:t>3</w:t>
      </w:r>
      <w:r>
        <w:rPr>
          <w:sz w:val="28"/>
          <w:szCs w:val="28"/>
        </w:rPr>
        <w:t xml:space="preserve"> млн. рублей, что на </w:t>
      </w:r>
      <w:r w:rsidR="004A3096">
        <w:rPr>
          <w:sz w:val="28"/>
          <w:szCs w:val="28"/>
        </w:rPr>
        <w:t>638</w:t>
      </w:r>
      <w:r>
        <w:rPr>
          <w:sz w:val="28"/>
          <w:szCs w:val="28"/>
        </w:rPr>
        <w:t>,</w:t>
      </w:r>
      <w:r w:rsidR="004A3096">
        <w:rPr>
          <w:sz w:val="28"/>
          <w:szCs w:val="28"/>
        </w:rPr>
        <w:t xml:space="preserve">7 </w:t>
      </w:r>
      <w:r>
        <w:rPr>
          <w:sz w:val="28"/>
          <w:szCs w:val="28"/>
        </w:rPr>
        <w:t>млн. рублей больше, чем в 2024 году.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труда лиц, замещающих муниципальные должности муниципального образования «Гагаринский муниципальный округ» Смоленской области, должности муниципальной службы муниципального образования «Гагаринский муниципальный округ» Смоленской области планируется в соответствии Порядком оплаты труда муниципальным служащим Администрации муниципального образования «Гагаринский муниципальный округ» Смоленской области, утвержденным решением Гагаринской окружной Думы от 24.12.2024 № 72 «Об установлении размеров должностных окладов, размеров дополнительных выплат и порядка оплаты труда Главе муниципального образования «Гагаринский муниципальный округ» Смоленской области и муниципальным служащим Администрации муниципального образования «Гагаринский муниципальный округ» Смоленской области», Постановлением Администрации Смоленской области от 20.12.2024 № 1000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служащих». 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лиц, замещающих должности, не являющиеся должностями муниципальной службы планируется в соответствии с постановлением Администрации Смоленской области от 27.10.2005 № 311 «Об оплате труда работников, замещающих должности, не являющиеся государственными должностями Смоленской области, должностями государственной гражданской службы Смоленской области» с изменениями, постановлением Администрации муниципального образования «Гагаринский муниципальный округ» Смоленской области», от 03.01.2025 № 02 «Об оплате труда работников, исполняющих обязанности по техническому обеспечению деятельности исполнительно-распорядительного органа муниципального образования «Гагаринский муниципальный округ» Смоленской области.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оплаты труда отдельных категорий работников муниципальных учреждений сферы образования и культуры определяются с учетом требований Указа Президента Российской Федерации от 7 мая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№ 597 «О мероприятиях по реализации государственной социальной политики» на основании дорожных карт. 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лиц, не перечисленных выше (за исключением лиц, заработная плата которых обеспечивается на уровне минимального размера оплаты труда), предусматривается с повышением на 8,4%.</w:t>
      </w:r>
    </w:p>
    <w:p w:rsidR="007F1DD7" w:rsidRDefault="007F1DD7" w:rsidP="007F1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лиц, заработная плата которых обеспечивается на уровне минимального размера оплаты труда, планируется с учетом его размера в 2025 году – 22 440 рублей.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Начисления на выплаты по оплате труда на 2025 год и плановый период 2026 и 2027 годов планируются в размере 30,2 % от заработной платы.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коммунальные услуги планируются исходя из расходов, предусмотренных на 2024 год с учетом повышения тарифов.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Расходы, направляемые на исполнение публичных и публичных нормативных обязательств (если иное не предусмотрено нормативным правовым актом), планируются исходя из ожидаемого количества получателей мер социальной поддержки и размера выплат.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выплату пенсий за выслугу лет в соответствии с областным законом от 29.11.2007 № 121-з «О пенсии за выслугу лет, выплачиваемой лицам, замещавшим муниципальные должности, должности муниципальной службы             (муниципальные должности муниципальной службы) Смоленской области», решением Гагаринской окружной Думы от 24.12.2024 № 76 «Об утверждении</w:t>
      </w:r>
      <w:r>
        <w:rPr>
          <w:b/>
          <w:sz w:val="28"/>
          <w:szCs w:val="28"/>
        </w:rPr>
        <w:t xml:space="preserve"> </w:t>
      </w:r>
      <w:r>
        <w:rPr>
          <w:rStyle w:val="af9"/>
          <w:b w:val="0"/>
          <w:sz w:val="28"/>
          <w:szCs w:val="28"/>
        </w:rPr>
        <w:t>Порядка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>
        <w:rPr>
          <w:rStyle w:val="af9"/>
          <w:sz w:val="28"/>
          <w:szCs w:val="28"/>
        </w:rPr>
        <w:t xml:space="preserve"> </w:t>
      </w:r>
      <w:r>
        <w:rPr>
          <w:rStyle w:val="af9"/>
          <w:b w:val="0"/>
          <w:sz w:val="28"/>
          <w:szCs w:val="28"/>
        </w:rPr>
        <w:t>органах местного самоуправления муниципального образования «Гагаринский муниципальный округ» Смоленской области</w:t>
      </w:r>
      <w:r>
        <w:rPr>
          <w:sz w:val="28"/>
          <w:szCs w:val="28"/>
        </w:rPr>
        <w:t>» предусматриваются, исходя из ожидаемого количества получателей и размера выплат в 2024 году.</w:t>
      </w:r>
    </w:p>
    <w:p w:rsidR="007F1DD7" w:rsidRDefault="007F1DD7" w:rsidP="007F1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содержание органов местного самоуправления муниципального образования «Гагаринский муниципальный округ» Смоленской области планируются, исходя из расходов, предусмотренных на 2024 год.</w:t>
      </w:r>
    </w:p>
    <w:p w:rsidR="007F1DD7" w:rsidRDefault="007F1DD7" w:rsidP="007F1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уплату налогов органами местного самоуправления муниципального образования «Гагаринский муниципальный округ» Смоленской области, муниципальными казенными учреждениями, муниципальными бюджетными учреждениями предусматриваются, исходя из налогооблагаемой базы и ставок налогов, предусмотренных на 2024 год.</w:t>
      </w:r>
    </w:p>
    <w:p w:rsidR="00A26628" w:rsidRPr="00956E00" w:rsidRDefault="00A26628" w:rsidP="00A26628">
      <w:pPr>
        <w:jc w:val="both"/>
        <w:rPr>
          <w:sz w:val="28"/>
          <w:szCs w:val="28"/>
        </w:rPr>
      </w:pPr>
    </w:p>
    <w:p w:rsidR="008820D7" w:rsidRDefault="008820D7" w:rsidP="00665CE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665CE2">
        <w:rPr>
          <w:rFonts w:ascii="Times New Roman CYR" w:hAnsi="Times New Roman CYR" w:cs="Times New Roman CYR"/>
          <w:b/>
          <w:sz w:val="32"/>
          <w:szCs w:val="32"/>
        </w:rPr>
        <w:t>ИНВЕСТИЦИИ</w:t>
      </w:r>
    </w:p>
    <w:p w:rsidR="00787D0B" w:rsidRPr="00665CE2" w:rsidRDefault="00787D0B" w:rsidP="00665CE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p w:rsidR="00E23DC7" w:rsidRPr="00DC4358" w:rsidRDefault="00E23DC7" w:rsidP="00E23DC7">
      <w:pPr>
        <w:ind w:firstLine="708"/>
        <w:jc w:val="both"/>
        <w:rPr>
          <w:sz w:val="28"/>
          <w:szCs w:val="28"/>
        </w:rPr>
      </w:pPr>
      <w:r w:rsidRPr="00DC4358">
        <w:rPr>
          <w:color w:val="000000"/>
          <w:sz w:val="28"/>
          <w:szCs w:val="28"/>
        </w:rPr>
        <w:t xml:space="preserve">Инвестиции затрагивают основы хозяйственной деятельности, определяя процесс экономического роста района в целом. В современных условиях о выступают важнейшим средством обеспечения условий выхода из сложившегося экономического кризиса, структурных сдвигов во всех отраслях экономики Гагаринского района, конкурентоспособности между товаропроизводителями всех форм собственности. </w:t>
      </w:r>
      <w:r w:rsidRPr="00DC4358">
        <w:rPr>
          <w:sz w:val="28"/>
          <w:szCs w:val="28"/>
        </w:rPr>
        <w:t xml:space="preserve">Рост объемов инвестиций благоприятно сказывается на социально-экономических показателях района, повышая его значимость и престиж, способствует развитию инфраструктуры, транспорта, созданию новых рабочих мест, улучшению качества жизни населения. </w:t>
      </w:r>
    </w:p>
    <w:p w:rsidR="00E23DC7" w:rsidRDefault="00E23DC7" w:rsidP="00E23D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DC435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 </w:t>
      </w:r>
      <w:r w:rsidRPr="00DC4358">
        <w:rPr>
          <w:sz w:val="28"/>
          <w:szCs w:val="28"/>
        </w:rPr>
        <w:t xml:space="preserve">объём инвестиций по полному кругу предприятий составил </w:t>
      </w:r>
      <w:r>
        <w:rPr>
          <w:sz w:val="28"/>
          <w:szCs w:val="28"/>
        </w:rPr>
        <w:t>5 696 705</w:t>
      </w:r>
      <w:r w:rsidRPr="00DC4358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руб., что на 63,5</w:t>
      </w:r>
      <w:r w:rsidRPr="00DC4358">
        <w:rPr>
          <w:sz w:val="28"/>
          <w:szCs w:val="28"/>
        </w:rPr>
        <w:t xml:space="preserve"> % больше, чем за </w:t>
      </w:r>
      <w:r>
        <w:rPr>
          <w:sz w:val="28"/>
          <w:szCs w:val="28"/>
        </w:rPr>
        <w:t xml:space="preserve">2023 год </w:t>
      </w:r>
      <w:r w:rsidRPr="00DC4358">
        <w:rPr>
          <w:sz w:val="28"/>
          <w:szCs w:val="28"/>
        </w:rPr>
        <w:t>(</w:t>
      </w:r>
      <w:r>
        <w:rPr>
          <w:sz w:val="28"/>
          <w:szCs w:val="28"/>
        </w:rPr>
        <w:t xml:space="preserve">3 484 937 </w:t>
      </w:r>
      <w:r w:rsidRPr="00DC4358">
        <w:rPr>
          <w:sz w:val="28"/>
          <w:szCs w:val="28"/>
        </w:rPr>
        <w:t xml:space="preserve">тыс. руб.). </w:t>
      </w:r>
    </w:p>
    <w:p w:rsidR="00B63CBA" w:rsidRPr="00B63CBA" w:rsidRDefault="00B63CBA" w:rsidP="00B63CBA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плановом периоде 2026-2028 г. за счет увеличения количества инвесторов прогнозируется рост инвестиций в основной капитал Гагаринского муниципального округа Смоленской области.</w:t>
      </w:r>
    </w:p>
    <w:p w:rsidR="00461848" w:rsidRDefault="00461848" w:rsidP="00461848">
      <w:pPr>
        <w:pStyle w:val="af1"/>
        <w:spacing w:before="0" w:beforeAutospacing="0"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привлечения инвестиционной деятельности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Администрация муниципального образования «Гагаринский муниципальный округ» Смоленской области гарантирует потенциальным инвесторам создание оптимальных условий для успешного бизнеса: оперативное решение вопросов, прозрачность процессов, открытый диалог. Инвестор, практически на любом этапе проекта, может воспользоваться какой – либо формой поддержки: информационной, организационной, финансовой (в виде господдержки на уровне субъекта), именно для этих целей при Администрации муниципального «Гагаринский муниципальный округ» Смоленской области создан совещательный Совет и назначен инвестиционный уполномоченный. </w:t>
      </w:r>
    </w:p>
    <w:p w:rsidR="00461848" w:rsidRDefault="00461848" w:rsidP="00461848">
      <w:pPr>
        <w:jc w:val="both"/>
        <w:rPr>
          <w:sz w:val="28"/>
          <w:szCs w:val="28"/>
        </w:rPr>
      </w:pPr>
      <w:r>
        <w:rPr>
          <w:rFonts w:eastAsiaTheme="minorEastAsia" w:hAnsi="Calibri"/>
          <w:color w:val="000000" w:themeColor="text1"/>
          <w:kern w:val="24"/>
          <w:sz w:val="23"/>
          <w:szCs w:val="23"/>
        </w:rPr>
        <w:tab/>
      </w:r>
      <w:r>
        <w:rPr>
          <w:rFonts w:eastAsiaTheme="minorEastAsia"/>
          <w:color w:val="000000" w:themeColor="text1"/>
          <w:kern w:val="24"/>
          <w:sz w:val="28"/>
          <w:szCs w:val="28"/>
        </w:rPr>
        <w:t>Гагаринский муниципальный округ выгодно характеризуется наличием на своей территории свободных трудовых ресурсов. Развитая система образовательных учреждений начального и среднего профессионального образования позволит осуществить эффективную подготовку кадров для обеспечения потребностей будущих предприятий.</w:t>
      </w:r>
    </w:p>
    <w:p w:rsidR="00461848" w:rsidRDefault="00461848" w:rsidP="00461848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ab/>
        <w:t>Стабильно развиваясь, округ заинтересован в развитии и расширении партнерских связей со всеми уголками нашей страны и зарубежными партнерами, создавая, в том числе, благоприятную среду для инвестиций.</w:t>
      </w:r>
    </w:p>
    <w:p w:rsidR="00461848" w:rsidRDefault="00461848" w:rsidP="00461848">
      <w:pPr>
        <w:ind w:firstLine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 целью привлечения потенциальных инвесторов на территории Гагаринского муниципального округа сформировано 11 (одиннадцать) инвестиционных площадок площадью от 2 до 382 га для различных видов производственной деятельности. Подробная информация размещена на официальном сайте </w:t>
      </w:r>
      <w:hyperlink r:id="rId11" w:history="1">
        <w:r>
          <w:rPr>
            <w:rStyle w:val="af7"/>
            <w:rFonts w:ascii="Times New Roman CYR" w:eastAsia="Calibri" w:hAnsi="Times New Roman CYR" w:cs="Times New Roman CYR"/>
            <w:sz w:val="28"/>
            <w:szCs w:val="28"/>
            <w:lang w:val="en-US"/>
          </w:rPr>
          <w:t>www</w:t>
        </w:r>
        <w:r>
          <w:rPr>
            <w:rStyle w:val="af7"/>
            <w:rFonts w:ascii="Times New Roman CYR" w:eastAsia="Calibri" w:hAnsi="Times New Roman CYR" w:cs="Times New Roman CYR"/>
            <w:sz w:val="28"/>
            <w:szCs w:val="28"/>
          </w:rPr>
          <w:t>.гагаринадмин67.рф</w:t>
        </w:r>
      </w:hyperlink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E2D9A" w:rsidRDefault="00FE2D9A" w:rsidP="00461848">
      <w:pPr>
        <w:ind w:firstLine="425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FE2D9A" w:rsidRPr="00CD5778" w:rsidRDefault="00436D9C" w:rsidP="00FE2D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FE2D9A" w:rsidRPr="00CD5778">
        <w:rPr>
          <w:rFonts w:ascii="Times New Roman" w:hAnsi="Times New Roman" w:cs="Times New Roman"/>
          <w:b/>
          <w:sz w:val="28"/>
          <w:szCs w:val="28"/>
        </w:rPr>
        <w:t>азвития муниципального образования «</w:t>
      </w:r>
      <w:r w:rsidR="00FE2D9A">
        <w:rPr>
          <w:rFonts w:ascii="Times New Roman" w:hAnsi="Times New Roman" w:cs="Times New Roman"/>
          <w:b/>
          <w:sz w:val="28"/>
          <w:szCs w:val="28"/>
        </w:rPr>
        <w:t>Гагаринский муниципальный округ</w:t>
      </w:r>
      <w:r w:rsidR="00FE2D9A" w:rsidRPr="00CD5778">
        <w:rPr>
          <w:rFonts w:ascii="Times New Roman" w:hAnsi="Times New Roman" w:cs="Times New Roman"/>
          <w:b/>
          <w:sz w:val="28"/>
          <w:szCs w:val="28"/>
        </w:rPr>
        <w:t xml:space="preserve">» Смоленской области 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D9A" w:rsidRDefault="00436D9C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="00FE2D9A" w:rsidRPr="00CD5778">
        <w:rPr>
          <w:rFonts w:ascii="Times New Roman" w:hAnsi="Times New Roman" w:cs="Times New Roman"/>
          <w:sz w:val="28"/>
          <w:szCs w:val="28"/>
        </w:rPr>
        <w:t xml:space="preserve"> целью социально-экономического развития </w:t>
      </w:r>
      <w:r w:rsidR="00FE2D9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«Гагаринский муниципальный округ» </w:t>
      </w:r>
      <w:r w:rsidR="00FE2D9A" w:rsidRPr="00CD5778">
        <w:rPr>
          <w:rFonts w:ascii="Times New Roman" w:hAnsi="Times New Roman" w:cs="Times New Roman"/>
          <w:sz w:val="28"/>
          <w:szCs w:val="28"/>
        </w:rPr>
        <w:t>Смол</w:t>
      </w:r>
      <w:r w:rsidR="00FE2D9A">
        <w:rPr>
          <w:rFonts w:ascii="Times New Roman" w:hAnsi="Times New Roman" w:cs="Times New Roman"/>
          <w:sz w:val="28"/>
          <w:szCs w:val="28"/>
        </w:rPr>
        <w:t>енской области на период до 2028</w:t>
      </w:r>
      <w:r w:rsidR="00FE2D9A" w:rsidRPr="00CD5778">
        <w:rPr>
          <w:rFonts w:ascii="Times New Roman" w:hAnsi="Times New Roman" w:cs="Times New Roman"/>
          <w:sz w:val="28"/>
          <w:szCs w:val="28"/>
        </w:rPr>
        <w:t xml:space="preserve"> года является повышение уровня и качества жизни жителей на основе динамичного развития экономической и социальной сферы.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>Только население, живущее в достойных условиях, соответствующих современным мировым стандартам, может обеспечить экономическое процветание общества и социальную стабильность. Граждане должны свободно чувствовать себя в условиях глобальной цифровизации, воспринимать и осваивать новейшие технологические достижения, стремиться жить в соответствии с духовными ценностями и традициями.</w:t>
      </w:r>
    </w:p>
    <w:p w:rsidR="00FE2D9A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Реализация главной цели развития достигается путем проведения активной политики, направленной на достижение баланса между различными сферами, секторами и видами деятельности, на обеспечение гражданских прав, наилучших условий жизни и учета интересов </w:t>
      </w:r>
      <w:r>
        <w:rPr>
          <w:rFonts w:ascii="Times New Roman" w:hAnsi="Times New Roman" w:cs="Times New Roman"/>
          <w:sz w:val="28"/>
          <w:szCs w:val="28"/>
        </w:rPr>
        <w:t>жителей Гагаринского муниципального округа Смоленской области.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Гагаринский муниципальный округ</w:t>
      </w:r>
      <w:r w:rsidRPr="00CD5778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5778">
        <w:rPr>
          <w:rFonts w:ascii="Times New Roman" w:hAnsi="Times New Roman" w:cs="Times New Roman"/>
          <w:sz w:val="28"/>
          <w:szCs w:val="28"/>
        </w:rPr>
        <w:t>н стать территорией обновляемой и конкурентоспособной экономики, обладающей долгосрочным потенциалом динамичного роста, процветающим и комфортным для проживания регионом с широкими возможностями для развития личности и карьеры.</w:t>
      </w:r>
    </w:p>
    <w:p w:rsidR="00FE2D9A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Повышение конкурентоспособности с целью привлечения инвесторов, туристов, новых жителей и квалифицированных специалистов предполагает создание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D5778">
        <w:rPr>
          <w:rFonts w:ascii="Times New Roman" w:hAnsi="Times New Roman" w:cs="Times New Roman"/>
          <w:sz w:val="28"/>
          <w:szCs w:val="28"/>
        </w:rPr>
        <w:t xml:space="preserve"> таких условий, чтобы молодые, активные, образованные жители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D5778">
        <w:rPr>
          <w:rFonts w:ascii="Times New Roman" w:hAnsi="Times New Roman" w:cs="Times New Roman"/>
          <w:sz w:val="28"/>
          <w:szCs w:val="28"/>
        </w:rPr>
        <w:t xml:space="preserve"> и других регионов России стремились здесь жить и работать.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D9A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D9A" w:rsidRPr="00CD5778" w:rsidRDefault="00FE2D9A" w:rsidP="00FE2D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778">
        <w:rPr>
          <w:rFonts w:ascii="Times New Roman" w:hAnsi="Times New Roman" w:cs="Times New Roman"/>
          <w:b/>
          <w:sz w:val="28"/>
          <w:szCs w:val="28"/>
        </w:rPr>
        <w:t>Направления и приоритеты развития муниципального образования</w:t>
      </w:r>
    </w:p>
    <w:p w:rsidR="00FE2D9A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стратегической цели и задач определены ключевые направления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«Гагаринский муниципальный округ» </w:t>
      </w:r>
      <w:r w:rsidRPr="00CD5778">
        <w:rPr>
          <w:rFonts w:ascii="Times New Roman" w:hAnsi="Times New Roman" w:cs="Times New Roman"/>
          <w:sz w:val="28"/>
          <w:szCs w:val="28"/>
        </w:rPr>
        <w:t>Смол</w:t>
      </w:r>
      <w:r>
        <w:rPr>
          <w:rFonts w:ascii="Times New Roman" w:hAnsi="Times New Roman" w:cs="Times New Roman"/>
          <w:sz w:val="28"/>
          <w:szCs w:val="28"/>
        </w:rPr>
        <w:t>енской области на период до 2028</w:t>
      </w:r>
      <w:r w:rsidRPr="00CD5778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>- формирование благоприятной социальной среды, обеспечивающей всестороннее развитие личности на основе образования, культуры и науки, здорового образа жизни населения, заботы об условиях труда, семьях</w:t>
      </w:r>
      <w:r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Pr="00CD5778">
        <w:rPr>
          <w:rFonts w:ascii="Times New Roman" w:hAnsi="Times New Roman" w:cs="Times New Roman"/>
          <w:sz w:val="28"/>
          <w:szCs w:val="28"/>
        </w:rPr>
        <w:t>, внедрения принципов социальной справедливости; повышения уровня общественной безопасности;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- формирование современного высокоэффективного и конкурентоспособного туристского комплекса, обеспечивающего широкие возможности для жителей и гостей </w:t>
      </w:r>
      <w:r>
        <w:rPr>
          <w:rFonts w:ascii="Times New Roman" w:hAnsi="Times New Roman" w:cs="Times New Roman"/>
          <w:sz w:val="28"/>
          <w:szCs w:val="28"/>
        </w:rPr>
        <w:t>Гагаринского муниципального округа</w:t>
      </w:r>
      <w:r w:rsidRPr="00CD5778">
        <w:rPr>
          <w:rFonts w:ascii="Times New Roman" w:hAnsi="Times New Roman" w:cs="Times New Roman"/>
          <w:sz w:val="28"/>
          <w:szCs w:val="28"/>
        </w:rPr>
        <w:t xml:space="preserve"> в активном и полноценном отдыхе, удовлетворение потребностей в разнообразных туристских услугах, приобщения к культурным ценностям, повышение занятости и уровня доходов населения;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>- формирование гражданского общества и развитие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5778">
        <w:rPr>
          <w:rFonts w:ascii="Times New Roman" w:hAnsi="Times New Roman" w:cs="Times New Roman"/>
          <w:sz w:val="28"/>
          <w:szCs w:val="28"/>
        </w:rPr>
        <w:t xml:space="preserve"> партнерство в экономической, социальной и культурной сферах, выработка механизмов эффективного взаимодействия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всех уровней</w:t>
      </w:r>
      <w:r w:rsidRPr="00CD5778">
        <w:rPr>
          <w:rFonts w:ascii="Times New Roman" w:hAnsi="Times New Roman" w:cs="Times New Roman"/>
          <w:sz w:val="28"/>
          <w:szCs w:val="28"/>
        </w:rPr>
        <w:t>;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- устойчивое функционирование и развитие инфраструктуры и систем жизнеобеспечения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D5778">
        <w:rPr>
          <w:rFonts w:ascii="Times New Roman" w:hAnsi="Times New Roman" w:cs="Times New Roman"/>
          <w:sz w:val="28"/>
          <w:szCs w:val="28"/>
        </w:rPr>
        <w:t>, позволяющих сформировать здоровую, безопасную, благоустроенную среду обитания;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>- создание благоприятного социально-экономического и правового климата для предпринимателей и жителей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D5778">
        <w:rPr>
          <w:rFonts w:ascii="Times New Roman" w:hAnsi="Times New Roman" w:cs="Times New Roman"/>
          <w:sz w:val="28"/>
          <w:szCs w:val="28"/>
        </w:rPr>
        <w:t xml:space="preserve"> совершенствование нормативно-правовой базы, развитие рыночной, информационной, инновационной инфраструктуры, развитие системы достоверной и доступной информации;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778">
        <w:rPr>
          <w:rFonts w:ascii="Times New Roman" w:hAnsi="Times New Roman" w:cs="Times New Roman"/>
          <w:sz w:val="28"/>
          <w:szCs w:val="28"/>
        </w:rPr>
        <w:t xml:space="preserve">- развитие эффективного производства и комплекса сферы услуг, обеспечивающих интеграцию в региональную, национальную и мировую экономику на базе роста инвестиций, создания новых рабочих мест, привлечения высококвалифицированных кадров, активизации инновационной деятельности, максимизации доходов </w:t>
      </w:r>
      <w:r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CD5778">
        <w:rPr>
          <w:rFonts w:ascii="Times New Roman" w:hAnsi="Times New Roman" w:cs="Times New Roman"/>
          <w:sz w:val="28"/>
          <w:szCs w:val="28"/>
        </w:rPr>
        <w:t xml:space="preserve"> бюджета, роста прибылей предприятий, эффективного использования муниципального имущества, развития рыночных институтов, роста малого и среднего предпринимательства.</w:t>
      </w:r>
    </w:p>
    <w:p w:rsidR="00FE2D9A" w:rsidRPr="00CD5778" w:rsidRDefault="00FE2D9A" w:rsidP="00FE2D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287">
        <w:rPr>
          <w:rFonts w:ascii="Times New Roman" w:hAnsi="Times New Roman" w:cs="Times New Roman"/>
          <w:sz w:val="28"/>
          <w:szCs w:val="28"/>
        </w:rPr>
        <w:t xml:space="preserve">Стратегические </w:t>
      </w:r>
      <w:r w:rsidRPr="00CD5778">
        <w:rPr>
          <w:rFonts w:ascii="Times New Roman" w:hAnsi="Times New Roman" w:cs="Times New Roman"/>
          <w:sz w:val="28"/>
          <w:szCs w:val="28"/>
        </w:rPr>
        <w:t xml:space="preserve">задачи и основные направления нацелены на то, что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Pr="00CD5778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5778">
        <w:rPr>
          <w:rFonts w:ascii="Times New Roman" w:hAnsi="Times New Roman" w:cs="Times New Roman"/>
          <w:sz w:val="28"/>
          <w:szCs w:val="28"/>
        </w:rPr>
        <w:t xml:space="preserve"> улучшаться не только в ближайшее время, но и в более длительной перспективе. Ресурсы должны использоваться таким образом, чтобы постоянно сохранял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D5778">
        <w:rPr>
          <w:rFonts w:ascii="Times New Roman" w:hAnsi="Times New Roman" w:cs="Times New Roman"/>
          <w:sz w:val="28"/>
          <w:szCs w:val="28"/>
        </w:rPr>
        <w:t xml:space="preserve"> потенциал развития не только на среднесрочную перспективу, но и в будущем.</w:t>
      </w:r>
    </w:p>
    <w:p w:rsidR="00FE2D9A" w:rsidRDefault="00FE2D9A" w:rsidP="00FE2D9A">
      <w:pPr>
        <w:pStyle w:val="ConsPlusNormal"/>
        <w:jc w:val="center"/>
        <w:outlineLvl w:val="1"/>
      </w:pPr>
    </w:p>
    <w:p w:rsidR="00FE2D9A" w:rsidRPr="00A335C2" w:rsidRDefault="00FE2D9A" w:rsidP="00FE2D9A">
      <w:pPr>
        <w:ind w:firstLine="709"/>
        <w:jc w:val="both"/>
        <w:rPr>
          <w:sz w:val="28"/>
          <w:szCs w:val="28"/>
        </w:rPr>
      </w:pPr>
    </w:p>
    <w:p w:rsidR="007F1DD7" w:rsidRPr="007F1DD7" w:rsidRDefault="007F1DD7" w:rsidP="00461848">
      <w:pPr>
        <w:pStyle w:val="af1"/>
        <w:spacing w:before="0" w:beforeAutospacing="0" w:after="0" w:afterAutospacing="0"/>
        <w:ind w:firstLine="562"/>
        <w:jc w:val="both"/>
        <w:rPr>
          <w:b/>
          <w:color w:val="1A1A1A"/>
          <w:spacing w:val="-6"/>
          <w:sz w:val="28"/>
          <w:szCs w:val="28"/>
          <w:shd w:val="clear" w:color="auto" w:fill="FFFFFF"/>
        </w:rPr>
      </w:pPr>
    </w:p>
    <w:sectPr w:rsidR="007F1DD7" w:rsidRPr="007F1DD7" w:rsidSect="002C5B78">
      <w:pgSz w:w="11906" w:h="16838"/>
      <w:pgMar w:top="1134" w:right="737" w:bottom="1134" w:left="1134" w:header="709" w:footer="709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47" w:rsidRDefault="00C26847" w:rsidP="00525321">
      <w:r>
        <w:separator/>
      </w:r>
    </w:p>
  </w:endnote>
  <w:endnote w:type="continuationSeparator" w:id="0">
    <w:p w:rsidR="00C26847" w:rsidRDefault="00C26847" w:rsidP="0052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47" w:rsidRDefault="00C26847" w:rsidP="00525321">
      <w:r>
        <w:separator/>
      </w:r>
    </w:p>
  </w:footnote>
  <w:footnote w:type="continuationSeparator" w:id="0">
    <w:p w:rsidR="00C26847" w:rsidRDefault="00C26847" w:rsidP="00525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1204"/>
    <w:multiLevelType w:val="hybridMultilevel"/>
    <w:tmpl w:val="0DE8C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5A55"/>
    <w:multiLevelType w:val="hybridMultilevel"/>
    <w:tmpl w:val="911A08D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18B"/>
    <w:multiLevelType w:val="hybridMultilevel"/>
    <w:tmpl w:val="C0669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902E7"/>
    <w:multiLevelType w:val="hybridMultilevel"/>
    <w:tmpl w:val="F796BD2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0BFD1999"/>
    <w:multiLevelType w:val="hybridMultilevel"/>
    <w:tmpl w:val="5FCED1A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50599"/>
    <w:multiLevelType w:val="hybridMultilevel"/>
    <w:tmpl w:val="A2FE6E3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F067EA"/>
    <w:multiLevelType w:val="hybridMultilevel"/>
    <w:tmpl w:val="4A287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E3AE4"/>
    <w:multiLevelType w:val="hybridMultilevel"/>
    <w:tmpl w:val="1458E49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921F4D"/>
    <w:multiLevelType w:val="hybridMultilevel"/>
    <w:tmpl w:val="0E16BF4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BBB7D73"/>
    <w:multiLevelType w:val="hybridMultilevel"/>
    <w:tmpl w:val="CE6208D0"/>
    <w:lvl w:ilvl="0" w:tplc="0FD498C2">
      <w:start w:val="1"/>
      <w:numFmt w:val="decimal"/>
      <w:lvlText w:val="%1)"/>
      <w:lvlJc w:val="left"/>
      <w:pPr>
        <w:ind w:left="13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 w15:restartNumberingAfterBreak="0">
    <w:nsid w:val="25212551"/>
    <w:multiLevelType w:val="hybridMultilevel"/>
    <w:tmpl w:val="B734BEC0"/>
    <w:lvl w:ilvl="0" w:tplc="B08A453E">
      <w:start w:val="2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304F0B5A"/>
    <w:multiLevelType w:val="hybridMultilevel"/>
    <w:tmpl w:val="493021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E39CB"/>
    <w:multiLevelType w:val="hybridMultilevel"/>
    <w:tmpl w:val="B9BA8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35FF6"/>
    <w:multiLevelType w:val="hybridMultilevel"/>
    <w:tmpl w:val="69E00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9B43E9"/>
    <w:multiLevelType w:val="hybridMultilevel"/>
    <w:tmpl w:val="FAF6521A"/>
    <w:lvl w:ilvl="0" w:tplc="7786B7C8">
      <w:start w:val="2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422838E1"/>
    <w:multiLevelType w:val="hybridMultilevel"/>
    <w:tmpl w:val="461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151F9"/>
    <w:multiLevelType w:val="hybridMultilevel"/>
    <w:tmpl w:val="A4E45412"/>
    <w:lvl w:ilvl="0" w:tplc="27AE8430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1EE6536"/>
    <w:multiLevelType w:val="hybridMultilevel"/>
    <w:tmpl w:val="4D6EC74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631A1967"/>
    <w:multiLevelType w:val="hybridMultilevel"/>
    <w:tmpl w:val="8A403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6C7D0B"/>
    <w:multiLevelType w:val="hybridMultilevel"/>
    <w:tmpl w:val="71621A10"/>
    <w:lvl w:ilvl="0" w:tplc="69729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9BF152A"/>
    <w:multiLevelType w:val="hybridMultilevel"/>
    <w:tmpl w:val="2326D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9390B"/>
    <w:multiLevelType w:val="hybridMultilevel"/>
    <w:tmpl w:val="30664584"/>
    <w:lvl w:ilvl="0" w:tplc="D4EABC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3C93B2B"/>
    <w:multiLevelType w:val="hybridMultilevel"/>
    <w:tmpl w:val="5B10E5B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7F082CC7"/>
    <w:multiLevelType w:val="hybridMultilevel"/>
    <w:tmpl w:val="1570E594"/>
    <w:lvl w:ilvl="0" w:tplc="1B54B682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</w:num>
  <w:num w:numId="6">
    <w:abstractNumId w:val="9"/>
  </w:num>
  <w:num w:numId="7">
    <w:abstractNumId w:val="11"/>
  </w:num>
  <w:num w:numId="8">
    <w:abstractNumId w:val="6"/>
  </w:num>
  <w:num w:numId="9">
    <w:abstractNumId w:val="1"/>
  </w:num>
  <w:num w:numId="10">
    <w:abstractNumId w:val="20"/>
  </w:num>
  <w:num w:numId="11">
    <w:abstractNumId w:val="19"/>
  </w:num>
  <w:num w:numId="12">
    <w:abstractNumId w:val="18"/>
  </w:num>
  <w:num w:numId="13">
    <w:abstractNumId w:val="16"/>
  </w:num>
  <w:num w:numId="14">
    <w:abstractNumId w:val="10"/>
  </w:num>
  <w:num w:numId="15">
    <w:abstractNumId w:val="12"/>
  </w:num>
  <w:num w:numId="16">
    <w:abstractNumId w:val="15"/>
  </w:num>
  <w:num w:numId="17">
    <w:abstractNumId w:val="0"/>
  </w:num>
  <w:num w:numId="18">
    <w:abstractNumId w:val="3"/>
  </w:num>
  <w:num w:numId="19">
    <w:abstractNumId w:val="13"/>
  </w:num>
  <w:num w:numId="20">
    <w:abstractNumId w:val="17"/>
  </w:num>
  <w:num w:numId="21">
    <w:abstractNumId w:val="8"/>
  </w:num>
  <w:num w:numId="22">
    <w:abstractNumId w:val="7"/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A7"/>
    <w:rsid w:val="000010FE"/>
    <w:rsid w:val="00001FBD"/>
    <w:rsid w:val="0001101D"/>
    <w:rsid w:val="00021BF1"/>
    <w:rsid w:val="00022059"/>
    <w:rsid w:val="00023A00"/>
    <w:rsid w:val="00026F08"/>
    <w:rsid w:val="0002746F"/>
    <w:rsid w:val="000375C6"/>
    <w:rsid w:val="000375EF"/>
    <w:rsid w:val="0004393F"/>
    <w:rsid w:val="0004465D"/>
    <w:rsid w:val="00045779"/>
    <w:rsid w:val="00050E4E"/>
    <w:rsid w:val="00061A46"/>
    <w:rsid w:val="00072A9E"/>
    <w:rsid w:val="00075E64"/>
    <w:rsid w:val="00076E79"/>
    <w:rsid w:val="00077BAB"/>
    <w:rsid w:val="0008019B"/>
    <w:rsid w:val="000826F7"/>
    <w:rsid w:val="00097116"/>
    <w:rsid w:val="00097735"/>
    <w:rsid w:val="000A19EB"/>
    <w:rsid w:val="000A1DF4"/>
    <w:rsid w:val="000A6DFF"/>
    <w:rsid w:val="000B51F1"/>
    <w:rsid w:val="000B668E"/>
    <w:rsid w:val="000C56F4"/>
    <w:rsid w:val="000C64EC"/>
    <w:rsid w:val="000C789A"/>
    <w:rsid w:val="000D1767"/>
    <w:rsid w:val="000D4815"/>
    <w:rsid w:val="000D484C"/>
    <w:rsid w:val="000D73D5"/>
    <w:rsid w:val="000F6CD4"/>
    <w:rsid w:val="0010553C"/>
    <w:rsid w:val="00107A17"/>
    <w:rsid w:val="00120052"/>
    <w:rsid w:val="00121ED8"/>
    <w:rsid w:val="001468AE"/>
    <w:rsid w:val="00152649"/>
    <w:rsid w:val="00157B02"/>
    <w:rsid w:val="001615E2"/>
    <w:rsid w:val="00164E30"/>
    <w:rsid w:val="001802E6"/>
    <w:rsid w:val="00181F73"/>
    <w:rsid w:val="00186F8D"/>
    <w:rsid w:val="001934DB"/>
    <w:rsid w:val="00193DEB"/>
    <w:rsid w:val="001A01FB"/>
    <w:rsid w:val="001A4CFE"/>
    <w:rsid w:val="001A7821"/>
    <w:rsid w:val="001A7CE5"/>
    <w:rsid w:val="001B16B2"/>
    <w:rsid w:val="001C793D"/>
    <w:rsid w:val="001D1401"/>
    <w:rsid w:val="001E35E2"/>
    <w:rsid w:val="001E5660"/>
    <w:rsid w:val="001E6F9B"/>
    <w:rsid w:val="001F1747"/>
    <w:rsid w:val="001F6812"/>
    <w:rsid w:val="00206665"/>
    <w:rsid w:val="00206A73"/>
    <w:rsid w:val="0020760F"/>
    <w:rsid w:val="00211CBC"/>
    <w:rsid w:val="00221D77"/>
    <w:rsid w:val="00224A9B"/>
    <w:rsid w:val="00235C58"/>
    <w:rsid w:val="00236A0B"/>
    <w:rsid w:val="00243A04"/>
    <w:rsid w:val="002452BF"/>
    <w:rsid w:val="002753CC"/>
    <w:rsid w:val="00276E53"/>
    <w:rsid w:val="00284737"/>
    <w:rsid w:val="00286DC6"/>
    <w:rsid w:val="0029019C"/>
    <w:rsid w:val="002A1005"/>
    <w:rsid w:val="002A2927"/>
    <w:rsid w:val="002A51C4"/>
    <w:rsid w:val="002B2662"/>
    <w:rsid w:val="002B68BE"/>
    <w:rsid w:val="002C5919"/>
    <w:rsid w:val="002C5B78"/>
    <w:rsid w:val="002C5D82"/>
    <w:rsid w:val="002E6F81"/>
    <w:rsid w:val="002F1C89"/>
    <w:rsid w:val="00307F4F"/>
    <w:rsid w:val="0031310A"/>
    <w:rsid w:val="00317254"/>
    <w:rsid w:val="00317EB4"/>
    <w:rsid w:val="0032235C"/>
    <w:rsid w:val="00322874"/>
    <w:rsid w:val="00324349"/>
    <w:rsid w:val="00330E7E"/>
    <w:rsid w:val="003340E5"/>
    <w:rsid w:val="003374FB"/>
    <w:rsid w:val="00343675"/>
    <w:rsid w:val="00343FF0"/>
    <w:rsid w:val="0034582C"/>
    <w:rsid w:val="003621F3"/>
    <w:rsid w:val="0038030C"/>
    <w:rsid w:val="003849F3"/>
    <w:rsid w:val="003875A6"/>
    <w:rsid w:val="003916E8"/>
    <w:rsid w:val="003970C0"/>
    <w:rsid w:val="003A13FD"/>
    <w:rsid w:val="003A5A3C"/>
    <w:rsid w:val="003A6B62"/>
    <w:rsid w:val="003C4FD8"/>
    <w:rsid w:val="003C505A"/>
    <w:rsid w:val="003C7208"/>
    <w:rsid w:val="0040472D"/>
    <w:rsid w:val="004066BF"/>
    <w:rsid w:val="00407107"/>
    <w:rsid w:val="00411ADD"/>
    <w:rsid w:val="00411EE9"/>
    <w:rsid w:val="00413C5E"/>
    <w:rsid w:val="00416423"/>
    <w:rsid w:val="00422540"/>
    <w:rsid w:val="004241DF"/>
    <w:rsid w:val="00424FEB"/>
    <w:rsid w:val="00427B31"/>
    <w:rsid w:val="00432307"/>
    <w:rsid w:val="00436D9C"/>
    <w:rsid w:val="00441D02"/>
    <w:rsid w:val="004453EC"/>
    <w:rsid w:val="004454E7"/>
    <w:rsid w:val="00450B1E"/>
    <w:rsid w:val="00461848"/>
    <w:rsid w:val="0046238E"/>
    <w:rsid w:val="004704FD"/>
    <w:rsid w:val="00471692"/>
    <w:rsid w:val="00475AE8"/>
    <w:rsid w:val="00476E03"/>
    <w:rsid w:val="00485CDC"/>
    <w:rsid w:val="00491954"/>
    <w:rsid w:val="004A3096"/>
    <w:rsid w:val="004A6843"/>
    <w:rsid w:val="004A6CCC"/>
    <w:rsid w:val="004A7074"/>
    <w:rsid w:val="004D3153"/>
    <w:rsid w:val="004E0FF9"/>
    <w:rsid w:val="004E1433"/>
    <w:rsid w:val="004E460C"/>
    <w:rsid w:val="004E49CA"/>
    <w:rsid w:val="004E562B"/>
    <w:rsid w:val="004E6D94"/>
    <w:rsid w:val="004F2037"/>
    <w:rsid w:val="004F5B83"/>
    <w:rsid w:val="004F7718"/>
    <w:rsid w:val="00500D9F"/>
    <w:rsid w:val="00506FBC"/>
    <w:rsid w:val="005105D3"/>
    <w:rsid w:val="0051604F"/>
    <w:rsid w:val="00521065"/>
    <w:rsid w:val="00525321"/>
    <w:rsid w:val="00525EEA"/>
    <w:rsid w:val="005274A2"/>
    <w:rsid w:val="00531B80"/>
    <w:rsid w:val="005354C1"/>
    <w:rsid w:val="00542674"/>
    <w:rsid w:val="0054734A"/>
    <w:rsid w:val="0055062E"/>
    <w:rsid w:val="00554292"/>
    <w:rsid w:val="00557CEF"/>
    <w:rsid w:val="0056398E"/>
    <w:rsid w:val="005657B7"/>
    <w:rsid w:val="00566E2D"/>
    <w:rsid w:val="00570001"/>
    <w:rsid w:val="00572903"/>
    <w:rsid w:val="00582D50"/>
    <w:rsid w:val="005A058B"/>
    <w:rsid w:val="005A213A"/>
    <w:rsid w:val="005A2BDE"/>
    <w:rsid w:val="005A55BE"/>
    <w:rsid w:val="005B1969"/>
    <w:rsid w:val="005B2D1B"/>
    <w:rsid w:val="005B74F0"/>
    <w:rsid w:val="005C3299"/>
    <w:rsid w:val="005D3E7E"/>
    <w:rsid w:val="005D57F6"/>
    <w:rsid w:val="005E1E36"/>
    <w:rsid w:val="005E6BE5"/>
    <w:rsid w:val="005F1235"/>
    <w:rsid w:val="005F2A6D"/>
    <w:rsid w:val="006043C9"/>
    <w:rsid w:val="00607AB5"/>
    <w:rsid w:val="006135A8"/>
    <w:rsid w:val="00614179"/>
    <w:rsid w:val="006159A4"/>
    <w:rsid w:val="00616E87"/>
    <w:rsid w:val="00641ECA"/>
    <w:rsid w:val="006446DE"/>
    <w:rsid w:val="00647B15"/>
    <w:rsid w:val="00661E23"/>
    <w:rsid w:val="00663B3C"/>
    <w:rsid w:val="00663F66"/>
    <w:rsid w:val="00665CE2"/>
    <w:rsid w:val="00667288"/>
    <w:rsid w:val="00672C25"/>
    <w:rsid w:val="00676685"/>
    <w:rsid w:val="0067717D"/>
    <w:rsid w:val="00690D5F"/>
    <w:rsid w:val="00692D68"/>
    <w:rsid w:val="006A1B65"/>
    <w:rsid w:val="006A29F8"/>
    <w:rsid w:val="006A2C07"/>
    <w:rsid w:val="006A583B"/>
    <w:rsid w:val="006C2AC3"/>
    <w:rsid w:val="006C7ACF"/>
    <w:rsid w:val="006D4FE5"/>
    <w:rsid w:val="006E520E"/>
    <w:rsid w:val="006F1B89"/>
    <w:rsid w:val="006F4A6E"/>
    <w:rsid w:val="006F62DB"/>
    <w:rsid w:val="00706682"/>
    <w:rsid w:val="00716949"/>
    <w:rsid w:val="007178EA"/>
    <w:rsid w:val="00722495"/>
    <w:rsid w:val="007232BC"/>
    <w:rsid w:val="007251CA"/>
    <w:rsid w:val="00727C8A"/>
    <w:rsid w:val="00733EC9"/>
    <w:rsid w:val="00746A3C"/>
    <w:rsid w:val="00750CAD"/>
    <w:rsid w:val="00751059"/>
    <w:rsid w:val="00751E79"/>
    <w:rsid w:val="0076763C"/>
    <w:rsid w:val="00771953"/>
    <w:rsid w:val="00776A81"/>
    <w:rsid w:val="007777DC"/>
    <w:rsid w:val="007847BC"/>
    <w:rsid w:val="00784F19"/>
    <w:rsid w:val="00787D0B"/>
    <w:rsid w:val="00790FB2"/>
    <w:rsid w:val="007A1046"/>
    <w:rsid w:val="007A6244"/>
    <w:rsid w:val="007B3530"/>
    <w:rsid w:val="007D02A8"/>
    <w:rsid w:val="007D1B60"/>
    <w:rsid w:val="007D2786"/>
    <w:rsid w:val="007D5A15"/>
    <w:rsid w:val="007E22D8"/>
    <w:rsid w:val="007F0136"/>
    <w:rsid w:val="007F1DD7"/>
    <w:rsid w:val="007F32C7"/>
    <w:rsid w:val="00805F60"/>
    <w:rsid w:val="00833972"/>
    <w:rsid w:val="00835209"/>
    <w:rsid w:val="00837679"/>
    <w:rsid w:val="00837BE3"/>
    <w:rsid w:val="00840709"/>
    <w:rsid w:val="00845652"/>
    <w:rsid w:val="00864C91"/>
    <w:rsid w:val="008670CE"/>
    <w:rsid w:val="00875CA5"/>
    <w:rsid w:val="00876529"/>
    <w:rsid w:val="008820D7"/>
    <w:rsid w:val="008A51BA"/>
    <w:rsid w:val="008B5E74"/>
    <w:rsid w:val="008C1797"/>
    <w:rsid w:val="008C24E0"/>
    <w:rsid w:val="008D09EA"/>
    <w:rsid w:val="008D323A"/>
    <w:rsid w:val="008E029F"/>
    <w:rsid w:val="008E58A7"/>
    <w:rsid w:val="008F3D15"/>
    <w:rsid w:val="00907FD3"/>
    <w:rsid w:val="00913BC2"/>
    <w:rsid w:val="009343D0"/>
    <w:rsid w:val="00936E7C"/>
    <w:rsid w:val="009401A5"/>
    <w:rsid w:val="009403B8"/>
    <w:rsid w:val="009408A7"/>
    <w:rsid w:val="0094545A"/>
    <w:rsid w:val="009462E8"/>
    <w:rsid w:val="00956945"/>
    <w:rsid w:val="00956A08"/>
    <w:rsid w:val="00956E00"/>
    <w:rsid w:val="00961075"/>
    <w:rsid w:val="00971E2A"/>
    <w:rsid w:val="009730CA"/>
    <w:rsid w:val="00977045"/>
    <w:rsid w:val="00991839"/>
    <w:rsid w:val="00992232"/>
    <w:rsid w:val="009930B2"/>
    <w:rsid w:val="00997E36"/>
    <w:rsid w:val="009A1274"/>
    <w:rsid w:val="009A5761"/>
    <w:rsid w:val="009B2D2F"/>
    <w:rsid w:val="009B501E"/>
    <w:rsid w:val="009C4087"/>
    <w:rsid w:val="009C6ED7"/>
    <w:rsid w:val="009D0F52"/>
    <w:rsid w:val="009D21C1"/>
    <w:rsid w:val="009D7598"/>
    <w:rsid w:val="009E18BE"/>
    <w:rsid w:val="00A00C87"/>
    <w:rsid w:val="00A0386D"/>
    <w:rsid w:val="00A12FF5"/>
    <w:rsid w:val="00A26628"/>
    <w:rsid w:val="00A26940"/>
    <w:rsid w:val="00A41090"/>
    <w:rsid w:val="00A45163"/>
    <w:rsid w:val="00A5098B"/>
    <w:rsid w:val="00A53BC5"/>
    <w:rsid w:val="00A60E46"/>
    <w:rsid w:val="00A641D5"/>
    <w:rsid w:val="00A73FE2"/>
    <w:rsid w:val="00A74BAF"/>
    <w:rsid w:val="00A8704F"/>
    <w:rsid w:val="00AB0626"/>
    <w:rsid w:val="00AB3DD9"/>
    <w:rsid w:val="00AB5946"/>
    <w:rsid w:val="00AC3B6F"/>
    <w:rsid w:val="00AD29CE"/>
    <w:rsid w:val="00AD2AB2"/>
    <w:rsid w:val="00AE0760"/>
    <w:rsid w:val="00AE1F48"/>
    <w:rsid w:val="00AE28AB"/>
    <w:rsid w:val="00AE32A4"/>
    <w:rsid w:val="00AF4813"/>
    <w:rsid w:val="00B034A5"/>
    <w:rsid w:val="00B03946"/>
    <w:rsid w:val="00B0761A"/>
    <w:rsid w:val="00B1302C"/>
    <w:rsid w:val="00B22D47"/>
    <w:rsid w:val="00B26736"/>
    <w:rsid w:val="00B27139"/>
    <w:rsid w:val="00B43C74"/>
    <w:rsid w:val="00B623F6"/>
    <w:rsid w:val="00B62A36"/>
    <w:rsid w:val="00B63CBA"/>
    <w:rsid w:val="00B6573A"/>
    <w:rsid w:val="00B65C6D"/>
    <w:rsid w:val="00B70515"/>
    <w:rsid w:val="00B70961"/>
    <w:rsid w:val="00B70D5A"/>
    <w:rsid w:val="00B751FE"/>
    <w:rsid w:val="00B75B3C"/>
    <w:rsid w:val="00B76C36"/>
    <w:rsid w:val="00B83E22"/>
    <w:rsid w:val="00B85DD7"/>
    <w:rsid w:val="00B9306C"/>
    <w:rsid w:val="00BA4A14"/>
    <w:rsid w:val="00BA7A63"/>
    <w:rsid w:val="00BC2D92"/>
    <w:rsid w:val="00BD1E13"/>
    <w:rsid w:val="00BD2CD6"/>
    <w:rsid w:val="00BD302E"/>
    <w:rsid w:val="00BE5159"/>
    <w:rsid w:val="00C0274D"/>
    <w:rsid w:val="00C11446"/>
    <w:rsid w:val="00C13BFE"/>
    <w:rsid w:val="00C166B6"/>
    <w:rsid w:val="00C17E47"/>
    <w:rsid w:val="00C229A1"/>
    <w:rsid w:val="00C26847"/>
    <w:rsid w:val="00C269FD"/>
    <w:rsid w:val="00C30E20"/>
    <w:rsid w:val="00C3419A"/>
    <w:rsid w:val="00C36E61"/>
    <w:rsid w:val="00C40151"/>
    <w:rsid w:val="00C41F7F"/>
    <w:rsid w:val="00C61BCF"/>
    <w:rsid w:val="00C750B4"/>
    <w:rsid w:val="00C76E9B"/>
    <w:rsid w:val="00C833AC"/>
    <w:rsid w:val="00C95129"/>
    <w:rsid w:val="00CA2FA2"/>
    <w:rsid w:val="00CA5255"/>
    <w:rsid w:val="00CB071F"/>
    <w:rsid w:val="00CD3A76"/>
    <w:rsid w:val="00CD5CF7"/>
    <w:rsid w:val="00CE0B28"/>
    <w:rsid w:val="00CE169E"/>
    <w:rsid w:val="00CE53D3"/>
    <w:rsid w:val="00CF48B6"/>
    <w:rsid w:val="00CF49A4"/>
    <w:rsid w:val="00D125BA"/>
    <w:rsid w:val="00D1572C"/>
    <w:rsid w:val="00D20D45"/>
    <w:rsid w:val="00D24ACB"/>
    <w:rsid w:val="00D25880"/>
    <w:rsid w:val="00D3052A"/>
    <w:rsid w:val="00D3137B"/>
    <w:rsid w:val="00D42280"/>
    <w:rsid w:val="00D50FCA"/>
    <w:rsid w:val="00D56434"/>
    <w:rsid w:val="00D60213"/>
    <w:rsid w:val="00D60CB5"/>
    <w:rsid w:val="00D70F84"/>
    <w:rsid w:val="00D74214"/>
    <w:rsid w:val="00D80444"/>
    <w:rsid w:val="00D84649"/>
    <w:rsid w:val="00D87BC4"/>
    <w:rsid w:val="00D97007"/>
    <w:rsid w:val="00DA287B"/>
    <w:rsid w:val="00DA3ECB"/>
    <w:rsid w:val="00DB25AB"/>
    <w:rsid w:val="00DB648C"/>
    <w:rsid w:val="00DD318D"/>
    <w:rsid w:val="00DD3193"/>
    <w:rsid w:val="00DD3A98"/>
    <w:rsid w:val="00DF38A6"/>
    <w:rsid w:val="00DF6AC6"/>
    <w:rsid w:val="00E04D3E"/>
    <w:rsid w:val="00E0678B"/>
    <w:rsid w:val="00E21943"/>
    <w:rsid w:val="00E23DC7"/>
    <w:rsid w:val="00E2508F"/>
    <w:rsid w:val="00E503F1"/>
    <w:rsid w:val="00E54EF5"/>
    <w:rsid w:val="00E657D8"/>
    <w:rsid w:val="00E70AD3"/>
    <w:rsid w:val="00E714CF"/>
    <w:rsid w:val="00E8070E"/>
    <w:rsid w:val="00E819E3"/>
    <w:rsid w:val="00E84752"/>
    <w:rsid w:val="00E8600B"/>
    <w:rsid w:val="00E93DFB"/>
    <w:rsid w:val="00E944FD"/>
    <w:rsid w:val="00E95559"/>
    <w:rsid w:val="00E971CA"/>
    <w:rsid w:val="00EA16F0"/>
    <w:rsid w:val="00EA2B87"/>
    <w:rsid w:val="00EA4C64"/>
    <w:rsid w:val="00EB2BB3"/>
    <w:rsid w:val="00EB3265"/>
    <w:rsid w:val="00EC0A93"/>
    <w:rsid w:val="00EC1FBA"/>
    <w:rsid w:val="00EC582E"/>
    <w:rsid w:val="00ED154A"/>
    <w:rsid w:val="00ED5721"/>
    <w:rsid w:val="00EF33D1"/>
    <w:rsid w:val="00F02266"/>
    <w:rsid w:val="00F03CEF"/>
    <w:rsid w:val="00F04351"/>
    <w:rsid w:val="00F20893"/>
    <w:rsid w:val="00F24797"/>
    <w:rsid w:val="00F25C08"/>
    <w:rsid w:val="00F34979"/>
    <w:rsid w:val="00F40046"/>
    <w:rsid w:val="00F40BFF"/>
    <w:rsid w:val="00F842FF"/>
    <w:rsid w:val="00F86917"/>
    <w:rsid w:val="00F86918"/>
    <w:rsid w:val="00F90DDC"/>
    <w:rsid w:val="00F9568D"/>
    <w:rsid w:val="00F97E2F"/>
    <w:rsid w:val="00FA2B59"/>
    <w:rsid w:val="00FA510A"/>
    <w:rsid w:val="00FA7EB4"/>
    <w:rsid w:val="00FB01A8"/>
    <w:rsid w:val="00FB447F"/>
    <w:rsid w:val="00FB6EB6"/>
    <w:rsid w:val="00FC1037"/>
    <w:rsid w:val="00FC43BD"/>
    <w:rsid w:val="00FC4C3C"/>
    <w:rsid w:val="00FC65F2"/>
    <w:rsid w:val="00FD1425"/>
    <w:rsid w:val="00FE2D9A"/>
    <w:rsid w:val="00FE6885"/>
    <w:rsid w:val="00FF1D8B"/>
    <w:rsid w:val="00FF37AF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10F8156-D8A7-44F3-99CD-1C374DB1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408A7"/>
    <w:pPr>
      <w:keepNext/>
      <w:ind w:firstLine="15"/>
      <w:jc w:val="center"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408A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1A78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A7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iPriority w:val="99"/>
    <w:semiHidden/>
    <w:unhideWhenUsed/>
    <w:rsid w:val="001A7821"/>
    <w:pPr>
      <w:spacing w:after="0"/>
      <w:ind w:firstLine="360"/>
    </w:pPr>
  </w:style>
  <w:style w:type="character" w:customStyle="1" w:styleId="a6">
    <w:name w:val="Красная строка Знак"/>
    <w:basedOn w:val="a4"/>
    <w:link w:val="a5"/>
    <w:uiPriority w:val="99"/>
    <w:semiHidden/>
    <w:rsid w:val="001A7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78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782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253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53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53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53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506FBC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basedOn w:val="a0"/>
    <w:link w:val="ad"/>
    <w:rsid w:val="00506FB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506FBC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39"/>
    <w:rsid w:val="00506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aliases w:val="Знак Знак,Знак Знак Знак Знак Знак,Знак Знак Знак Знак"/>
    <w:basedOn w:val="a"/>
    <w:link w:val="af2"/>
    <w:uiPriority w:val="99"/>
    <w:unhideWhenUsed/>
    <w:qFormat/>
    <w:rsid w:val="00E70AD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 Знак Знак,Знак Знак Знак Знак Знак Знак,Знак Знак Знак Знак Знак1"/>
    <w:link w:val="af1"/>
    <w:uiPriority w:val="99"/>
    <w:locked/>
    <w:rsid w:val="00E70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500D9F"/>
    <w:rPr>
      <w:rFonts w:ascii="Times New Roman" w:hAnsi="Times New Roman" w:cs="Times New Roman"/>
    </w:rPr>
  </w:style>
  <w:style w:type="character" w:customStyle="1" w:styleId="eattr1">
    <w:name w:val="eattr1"/>
    <w:basedOn w:val="a0"/>
    <w:rsid w:val="00B751FE"/>
    <w:rPr>
      <w:shd w:val="clear" w:color="auto" w:fill="FFFFFF"/>
    </w:rPr>
  </w:style>
  <w:style w:type="paragraph" w:styleId="af3">
    <w:name w:val="List Paragraph"/>
    <w:basedOn w:val="a"/>
    <w:link w:val="af4"/>
    <w:uiPriority w:val="34"/>
    <w:qFormat/>
    <w:rsid w:val="00727C8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5">
    <w:name w:val="No Spacing"/>
    <w:link w:val="af6"/>
    <w:uiPriority w:val="99"/>
    <w:qFormat/>
    <w:rsid w:val="00727C8A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Title">
    <w:name w:val="ConsPlusTitle"/>
    <w:uiPriority w:val="99"/>
    <w:rsid w:val="00727C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6">
    <w:name w:val="Без интервала Знак"/>
    <w:link w:val="af5"/>
    <w:uiPriority w:val="99"/>
    <w:qFormat/>
    <w:locked/>
    <w:rsid w:val="00727C8A"/>
    <w:rPr>
      <w:rFonts w:ascii="Calibri" w:eastAsia="Calibri" w:hAnsi="Calibri" w:cs="Calibri"/>
    </w:rPr>
  </w:style>
  <w:style w:type="character" w:styleId="af7">
    <w:name w:val="Hyperlink"/>
    <w:uiPriority w:val="99"/>
    <w:unhideWhenUsed/>
    <w:rsid w:val="006F1B89"/>
    <w:rPr>
      <w:color w:val="0000FF"/>
      <w:u w:val="single"/>
    </w:rPr>
  </w:style>
  <w:style w:type="character" w:customStyle="1" w:styleId="af4">
    <w:name w:val="Абзац списка Знак"/>
    <w:basedOn w:val="a0"/>
    <w:link w:val="af3"/>
    <w:uiPriority w:val="34"/>
    <w:qFormat/>
    <w:locked/>
    <w:rsid w:val="00BD2CD6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link w:val="NoSpacing"/>
    <w:rsid w:val="00BD2C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">
    <w:name w:val="No Spacing Знак"/>
    <w:basedOn w:val="a0"/>
    <w:link w:val="1"/>
    <w:rsid w:val="00BD2CD6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BD2CD6"/>
  </w:style>
  <w:style w:type="paragraph" w:customStyle="1" w:styleId="msonormalcxspmiddle">
    <w:name w:val="msonormalcxspmiddle"/>
    <w:basedOn w:val="a"/>
    <w:rsid w:val="00BD2CD6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026F08"/>
    <w:rPr>
      <w:rFonts w:cs="Times New Roman"/>
      <w:i/>
      <w:iCs/>
    </w:rPr>
  </w:style>
  <w:style w:type="paragraph" w:customStyle="1" w:styleId="ConsPlusNonformat">
    <w:name w:val="ConsPlusNonformat"/>
    <w:rsid w:val="00026F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AB3DD9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525EEA"/>
    <w:pPr>
      <w:spacing w:before="100" w:beforeAutospacing="1" w:after="115"/>
    </w:pPr>
    <w:rPr>
      <w:color w:val="000000"/>
    </w:rPr>
  </w:style>
  <w:style w:type="paragraph" w:styleId="21">
    <w:name w:val="Body Text 2"/>
    <w:basedOn w:val="a"/>
    <w:link w:val="22"/>
    <w:uiPriority w:val="99"/>
    <w:semiHidden/>
    <w:unhideWhenUsed/>
    <w:rsid w:val="00E23DC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23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23DC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23D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uiPriority w:val="22"/>
    <w:qFormat/>
    <w:rsid w:val="00956E00"/>
    <w:rPr>
      <w:b/>
      <w:bCs/>
    </w:rPr>
  </w:style>
  <w:style w:type="paragraph" w:styleId="afa">
    <w:name w:val="Title"/>
    <w:basedOn w:val="a"/>
    <w:link w:val="afb"/>
    <w:qFormat/>
    <w:rsid w:val="007F1DD7"/>
    <w:pPr>
      <w:jc w:val="center"/>
    </w:pPr>
    <w:rPr>
      <w:b/>
      <w:sz w:val="20"/>
      <w:szCs w:val="20"/>
    </w:rPr>
  </w:style>
  <w:style w:type="character" w:customStyle="1" w:styleId="afb">
    <w:name w:val="Название Знак"/>
    <w:basedOn w:val="a0"/>
    <w:link w:val="afa"/>
    <w:rsid w:val="007F1D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7F1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uiPriority w:val="99"/>
    <w:rsid w:val="007F1DD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75;&#1072;&#1075;&#1072;&#1088;&#1080;&#1085;&#1072;&#1076;&#1084;&#1080;&#1085;67.&#1088;&#1092;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Динамика рождаемости и смертности (чел.)</a:t>
            </a:r>
            <a:endParaRPr lang="ru-RU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0"/>
    </c:view3D>
    <c:floor>
      <c:thickness val="0"/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  <a:sp3d contourW="9525">
          <a:contourClr>
            <a:schemeClr val="tx1">
              <a:lumMod val="15000"/>
              <a:lumOff val="8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area3DChart>
        <c:grouping val="standard"/>
        <c:varyColors val="0"/>
        <c:ser>
          <c:idx val="0"/>
          <c:order val="0"/>
          <c:tx>
            <c:strRef>
              <c:f>Лист1!$B$8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numRef>
              <c:f>Лист1!$C$7:$H$7</c:f>
              <c:numCache>
                <c:formatCode>General</c:formatCode>
                <c:ptCount val="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</c:numCache>
            </c:numRef>
          </c:cat>
          <c:val>
            <c:numRef>
              <c:f>Лист1!$C$8:$H$8</c:f>
              <c:numCache>
                <c:formatCode>General</c:formatCode>
                <c:ptCount val="6"/>
                <c:pt idx="0">
                  <c:v>93</c:v>
                </c:pt>
                <c:pt idx="1">
                  <c:v>84</c:v>
                </c:pt>
                <c:pt idx="2">
                  <c:v>87</c:v>
                </c:pt>
                <c:pt idx="3">
                  <c:v>90</c:v>
                </c:pt>
                <c:pt idx="4">
                  <c:v>93</c:v>
                </c:pt>
                <c:pt idx="5">
                  <c:v>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7C-4559-9188-0BB03A7410D9}"/>
            </c:ext>
          </c:extLst>
        </c:ser>
        <c:ser>
          <c:idx val="1"/>
          <c:order val="1"/>
          <c:tx>
            <c:strRef>
              <c:f>Лист1!$B$9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numRef>
              <c:f>Лист1!$C$7:$H$7</c:f>
              <c:numCache>
                <c:formatCode>General</c:formatCode>
                <c:ptCount val="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</c:numCache>
            </c:numRef>
          </c:cat>
          <c:val>
            <c:numRef>
              <c:f>Лист1!$C$9:$H$9</c:f>
              <c:numCache>
                <c:formatCode>General</c:formatCode>
                <c:ptCount val="6"/>
                <c:pt idx="0">
                  <c:v>627</c:v>
                </c:pt>
                <c:pt idx="1">
                  <c:v>560</c:v>
                </c:pt>
                <c:pt idx="2">
                  <c:v>543</c:v>
                </c:pt>
                <c:pt idx="3">
                  <c:v>526</c:v>
                </c:pt>
                <c:pt idx="4">
                  <c:v>511</c:v>
                </c:pt>
                <c:pt idx="5">
                  <c:v>495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67C-4559-9188-0BB03A7410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6793392"/>
        <c:axId val="476792848"/>
        <c:axId val="443224176"/>
      </c:area3DChart>
      <c:catAx>
        <c:axId val="476793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792848"/>
        <c:crosses val="autoZero"/>
        <c:auto val="1"/>
        <c:lblAlgn val="ctr"/>
        <c:lblOffset val="100"/>
        <c:noMultiLvlLbl val="0"/>
      </c:catAx>
      <c:valAx>
        <c:axId val="476792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793392"/>
        <c:crosses val="autoZero"/>
        <c:crossBetween val="midCat"/>
      </c:valAx>
      <c:serAx>
        <c:axId val="44322417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792848"/>
        <c:crosses val="autoZero"/>
      </c:ser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Численность населения (чел.)</a:t>
            </a:r>
            <a:endParaRPr lang="ru-RU">
              <a:effectLst/>
            </a:endParaRPr>
          </a:p>
        </c:rich>
      </c:tx>
      <c:layout>
        <c:manualLayout>
          <c:xMode val="edge"/>
          <c:yMode val="edge"/>
          <c:x val="0.12726962631616576"/>
          <c:y val="3.243243243243243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Лист1!$B$8</c:f>
              <c:strCache>
                <c:ptCount val="1"/>
                <c:pt idx="0">
                  <c:v>численность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Лист1!$C$7:$H$7</c:f>
              <c:numCache>
                <c:formatCode>General</c:formatCode>
                <c:ptCount val="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</c:numCache>
            </c:numRef>
          </c:cat>
          <c:val>
            <c:numRef>
              <c:f>Лист1!$C$8:$H$8</c:f>
              <c:numCache>
                <c:formatCode>General</c:formatCode>
                <c:ptCount val="6"/>
                <c:pt idx="0">
                  <c:v>39257</c:v>
                </c:pt>
                <c:pt idx="1">
                  <c:v>38625</c:v>
                </c:pt>
                <c:pt idx="2">
                  <c:v>38503</c:v>
                </c:pt>
                <c:pt idx="3">
                  <c:v>38411</c:v>
                </c:pt>
                <c:pt idx="4">
                  <c:v>38329</c:v>
                </c:pt>
                <c:pt idx="5">
                  <c:v>38250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A5C-443A-9F03-CC9453EB66B1}"/>
            </c:ext>
          </c:extLst>
        </c:ser>
        <c:ser>
          <c:idx val="1"/>
          <c:order val="1"/>
          <c:tx>
            <c:strRef>
              <c:f>Лист1!$B$9</c:f>
              <c:strCache>
                <c:ptCount val="1"/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numRef>
              <c:f>Лист1!$C$7:$H$7</c:f>
              <c:numCache>
                <c:formatCode>General</c:formatCode>
                <c:ptCount val="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</c:numCache>
            </c:numRef>
          </c:cat>
          <c:val>
            <c:numRef>
              <c:f>Лист1!$C$9:$H$9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A5C-443A-9F03-CC9453EB66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76795024"/>
        <c:axId val="476801008"/>
      </c:barChart>
      <c:catAx>
        <c:axId val="476795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801008"/>
        <c:crosses val="autoZero"/>
        <c:auto val="1"/>
        <c:lblAlgn val="ctr"/>
        <c:lblOffset val="100"/>
        <c:noMultiLvlLbl val="0"/>
      </c:catAx>
      <c:valAx>
        <c:axId val="4768010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79502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  <a:sp3d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gradFill>
                  <a:gsLst>
                    <a:gs pos="0">
                      <a:schemeClr val="accent1">
                        <a:lumMod val="5000"/>
                        <a:lumOff val="95000"/>
                      </a:schemeClr>
                    </a:gs>
                    <a:gs pos="74000">
                      <a:schemeClr val="accent1">
                        <a:lumMod val="45000"/>
                        <a:lumOff val="55000"/>
                      </a:schemeClr>
                    </a:gs>
                    <a:gs pos="83000">
                      <a:schemeClr val="accent1">
                        <a:lumMod val="45000"/>
                        <a:lumOff val="55000"/>
                      </a:schemeClr>
                    </a:gs>
                    <a:gs pos="100000">
                      <a:schemeClr val="accent1">
                        <a:lumMod val="30000"/>
                        <a:lumOff val="70000"/>
                      </a:schemeClr>
                    </a:gs>
                  </a:gsLst>
                  <a:lin ang="5400000" scaled="1"/>
                </a:gradFill>
              </a:ln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1682E-34ED-4513-AB09-555CC814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*</cp:lastModifiedBy>
  <cp:revision>2</cp:revision>
  <cp:lastPrinted>2025-11-06T14:08:00Z</cp:lastPrinted>
  <dcterms:created xsi:type="dcterms:W3CDTF">2025-11-07T09:15:00Z</dcterms:created>
  <dcterms:modified xsi:type="dcterms:W3CDTF">2025-11-07T09:15:00Z</dcterms:modified>
</cp:coreProperties>
</file>